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45737" w14:textId="1B10C74C" w:rsidR="00797E51" w:rsidRPr="00F43E18" w:rsidRDefault="00D427E2" w:rsidP="00797E51">
      <w:pPr>
        <w:pStyle w:val="TitleCME"/>
        <w:rPr>
          <w:color w:val="FFFFFF" w:themeColor="background2"/>
        </w:rPr>
      </w:pPr>
      <w:r w:rsidRPr="00F43E18">
        <w:rPr>
          <w:color w:val="FFFFFF" w:themeColor="background2"/>
        </w:rPr>
        <w:t xml:space="preserve">CME Term SOFR </w:t>
      </w:r>
      <w:r w:rsidR="002F31F5">
        <w:rPr>
          <w:color w:val="FFFFFF" w:themeColor="background2"/>
        </w:rPr>
        <w:t xml:space="preserve">Daily </w:t>
      </w:r>
      <w:r w:rsidR="007F70EA">
        <w:rPr>
          <w:color w:val="FFFFFF" w:themeColor="background2"/>
        </w:rPr>
        <w:t>Return Indices</w:t>
      </w:r>
      <w:r w:rsidRPr="00F43E18">
        <w:rPr>
          <w:color w:val="FFFFFF" w:themeColor="background2"/>
        </w:rPr>
        <w:t xml:space="preserve"> </w:t>
      </w:r>
    </w:p>
    <w:p w14:paraId="1B1C5071" w14:textId="77777777" w:rsidR="004F7324" w:rsidRDefault="004F7324" w:rsidP="009F141D">
      <w:pPr>
        <w:pStyle w:val="TitleCME"/>
        <w:rPr>
          <w:color w:val="FFFFFF" w:themeColor="background2"/>
          <w:sz w:val="24"/>
          <w:szCs w:val="24"/>
        </w:rPr>
      </w:pPr>
    </w:p>
    <w:p w14:paraId="3DD97895" w14:textId="77777777" w:rsidR="004F7324" w:rsidRDefault="004F7324" w:rsidP="009F141D">
      <w:pPr>
        <w:pStyle w:val="TitleCME"/>
        <w:rPr>
          <w:color w:val="FFFFFF" w:themeColor="background2"/>
          <w:sz w:val="24"/>
          <w:szCs w:val="24"/>
        </w:rPr>
      </w:pPr>
    </w:p>
    <w:p w14:paraId="5CB6D1F4" w14:textId="2846C3FD" w:rsidR="009F141D" w:rsidRPr="004F7324" w:rsidRDefault="00893C33" w:rsidP="009F141D">
      <w:pPr>
        <w:pStyle w:val="TitleCME"/>
        <w:rPr>
          <w:b w:val="0"/>
          <w:bCs w:val="0"/>
          <w:color w:val="FFFFFF" w:themeColor="background2"/>
          <w:sz w:val="24"/>
          <w:szCs w:val="24"/>
        </w:rPr>
      </w:pPr>
      <w:r w:rsidRPr="004F7324">
        <w:rPr>
          <w:b w:val="0"/>
          <w:bCs w:val="0"/>
          <w:color w:val="FFFFFF" w:themeColor="background2"/>
          <w:sz w:val="24"/>
          <w:szCs w:val="24"/>
        </w:rPr>
        <w:t>BMR Benchmark Regulation Statement</w:t>
      </w:r>
    </w:p>
    <w:p w14:paraId="23756CE3" w14:textId="77777777" w:rsidR="00351C2B" w:rsidRDefault="00351C2B" w:rsidP="009F141D">
      <w:pPr>
        <w:pStyle w:val="IntroText"/>
        <w:rPr>
          <w:color w:val="FFFFFF" w:themeColor="background2"/>
        </w:rPr>
      </w:pPr>
    </w:p>
    <w:p w14:paraId="04076C37" w14:textId="77777777" w:rsidR="004F7324" w:rsidRPr="004F7324" w:rsidRDefault="00893C33" w:rsidP="004F7324">
      <w:pPr>
        <w:pStyle w:val="IntroText"/>
        <w:rPr>
          <w:b/>
          <w:bCs/>
          <w:color w:val="FFFFFF" w:themeColor="background2"/>
          <w:sz w:val="22"/>
          <w:szCs w:val="22"/>
        </w:rPr>
      </w:pPr>
      <w:r w:rsidRPr="004F7324">
        <w:rPr>
          <w:b/>
          <w:bCs/>
          <w:color w:val="FFFFFF" w:themeColor="background2"/>
          <w:sz w:val="22"/>
          <w:szCs w:val="22"/>
        </w:rPr>
        <w:t>CME Group Benchmark Administration Limited</w:t>
      </w:r>
    </w:p>
    <w:p w14:paraId="50B3107D" w14:textId="58887F85" w:rsidR="004F7324" w:rsidRDefault="004F7324" w:rsidP="00000B30">
      <w:pPr>
        <w:pStyle w:val="IntroText"/>
        <w:rPr>
          <w:b/>
          <w:bCs/>
          <w:color w:val="FFFFFF" w:themeColor="background2"/>
          <w:sz w:val="22"/>
          <w:szCs w:val="22"/>
        </w:rPr>
      </w:pPr>
      <w:r>
        <w:rPr>
          <w:b/>
          <w:bCs/>
          <w:color w:val="FFFFFF" w:themeColor="background2"/>
          <w:sz w:val="22"/>
          <w:szCs w:val="22"/>
        </w:rPr>
        <w:t>Date of initial publication:</w:t>
      </w:r>
      <w:r w:rsidR="00000B30">
        <w:rPr>
          <w:b/>
          <w:bCs/>
          <w:color w:val="FFFFFF" w:themeColor="background2"/>
          <w:sz w:val="22"/>
          <w:szCs w:val="22"/>
        </w:rPr>
        <w:t xml:space="preserve"> </w:t>
      </w:r>
      <w:r w:rsidR="009772B1">
        <w:rPr>
          <w:b/>
          <w:bCs/>
          <w:color w:val="FFFFFF" w:themeColor="background2"/>
          <w:sz w:val="22"/>
          <w:szCs w:val="22"/>
        </w:rPr>
        <w:t>August 18</w:t>
      </w:r>
      <w:r w:rsidR="002F31F5" w:rsidRPr="002F31F5">
        <w:rPr>
          <w:b/>
          <w:bCs/>
          <w:color w:val="FFFFFF" w:themeColor="background2"/>
          <w:sz w:val="22"/>
          <w:szCs w:val="22"/>
          <w:vertAlign w:val="superscript"/>
        </w:rPr>
        <w:t>th</w:t>
      </w:r>
      <w:r w:rsidRPr="004F7324">
        <w:rPr>
          <w:b/>
          <w:bCs/>
          <w:color w:val="FFFFFF" w:themeColor="background2"/>
          <w:sz w:val="22"/>
          <w:szCs w:val="22"/>
        </w:rPr>
        <w:t>, 202</w:t>
      </w:r>
      <w:r w:rsidR="002F31F5">
        <w:rPr>
          <w:b/>
          <w:bCs/>
          <w:color w:val="FFFFFF" w:themeColor="background2"/>
          <w:sz w:val="22"/>
          <w:szCs w:val="22"/>
        </w:rPr>
        <w:t>3</w:t>
      </w:r>
    </w:p>
    <w:p w14:paraId="04A2FB7D" w14:textId="6670A834" w:rsidR="009F141D" w:rsidRPr="004F7324" w:rsidRDefault="004F7324" w:rsidP="00000B30">
      <w:pPr>
        <w:pStyle w:val="IntroText"/>
        <w:rPr>
          <w:b/>
          <w:bCs/>
          <w:color w:val="FFFFFF" w:themeColor="background2"/>
          <w:sz w:val="22"/>
          <w:szCs w:val="22"/>
        </w:rPr>
      </w:pPr>
      <w:r>
        <w:rPr>
          <w:b/>
          <w:bCs/>
          <w:color w:val="FFFFFF" w:themeColor="background2"/>
          <w:sz w:val="22"/>
          <w:szCs w:val="22"/>
        </w:rPr>
        <w:t>Last update</w:t>
      </w:r>
      <w:r w:rsidR="00893C33" w:rsidRPr="004F7324">
        <w:rPr>
          <w:b/>
          <w:bCs/>
          <w:color w:val="FFFFFF" w:themeColor="background2"/>
          <w:sz w:val="22"/>
          <w:szCs w:val="22"/>
        </w:rPr>
        <w:t xml:space="preserve">: </w:t>
      </w:r>
      <w:r w:rsidR="009772B1">
        <w:rPr>
          <w:b/>
          <w:bCs/>
          <w:color w:val="FFFFFF" w:themeColor="background2"/>
          <w:sz w:val="22"/>
          <w:szCs w:val="22"/>
        </w:rPr>
        <w:t>August</w:t>
      </w:r>
      <w:r w:rsidR="002F31F5">
        <w:rPr>
          <w:b/>
          <w:bCs/>
          <w:color w:val="FFFFFF" w:themeColor="background2"/>
          <w:sz w:val="22"/>
          <w:szCs w:val="22"/>
        </w:rPr>
        <w:t xml:space="preserve"> </w:t>
      </w:r>
      <w:r w:rsidR="009772B1">
        <w:rPr>
          <w:b/>
          <w:bCs/>
          <w:color w:val="FFFFFF" w:themeColor="background2"/>
          <w:sz w:val="22"/>
          <w:szCs w:val="22"/>
        </w:rPr>
        <w:t>18</w:t>
      </w:r>
      <w:r w:rsidR="002F31F5" w:rsidRPr="002F31F5">
        <w:rPr>
          <w:b/>
          <w:bCs/>
          <w:color w:val="FFFFFF" w:themeColor="background2"/>
          <w:sz w:val="22"/>
          <w:szCs w:val="22"/>
          <w:vertAlign w:val="superscript"/>
        </w:rPr>
        <w:t>th</w:t>
      </w:r>
      <w:r w:rsidR="002F31F5" w:rsidRPr="004F7324">
        <w:rPr>
          <w:b/>
          <w:bCs/>
          <w:color w:val="FFFFFF" w:themeColor="background2"/>
          <w:sz w:val="22"/>
          <w:szCs w:val="22"/>
        </w:rPr>
        <w:t>, 202</w:t>
      </w:r>
      <w:r w:rsidR="002F31F5">
        <w:rPr>
          <w:b/>
          <w:bCs/>
          <w:color w:val="FFFFFF" w:themeColor="background2"/>
          <w:sz w:val="22"/>
          <w:szCs w:val="22"/>
        </w:rPr>
        <w:t>3</w:t>
      </w:r>
    </w:p>
    <w:p w14:paraId="7B96A1A1" w14:textId="77777777" w:rsidR="00893C33" w:rsidRPr="00B43417" w:rsidRDefault="00893C33" w:rsidP="00893C33"/>
    <w:p w14:paraId="5CC398AB" w14:textId="77777777" w:rsidR="009F141D" w:rsidRPr="00B43417" w:rsidRDefault="009F141D" w:rsidP="009F141D">
      <w:pPr>
        <w:sectPr w:rsidR="009F141D" w:rsidRPr="00B43417" w:rsidSect="00797E51">
          <w:headerReference w:type="default" r:id="rId8"/>
          <w:footerReference w:type="default" r:id="rId9"/>
          <w:headerReference w:type="first" r:id="rId10"/>
          <w:footerReference w:type="first" r:id="rId11"/>
          <w:pgSz w:w="11894" w:h="16834" w:code="9"/>
          <w:pgMar w:top="2304" w:right="1724" w:bottom="1440" w:left="1080" w:header="1080" w:footer="648" w:gutter="0"/>
          <w:cols w:space="708"/>
          <w:docGrid w:linePitch="360"/>
        </w:sectPr>
      </w:pPr>
    </w:p>
    <w:p w14:paraId="56C4C9A3" w14:textId="77777777" w:rsidR="00893C33" w:rsidRPr="00D2757D" w:rsidRDefault="00893C33" w:rsidP="00893C33">
      <w:pPr>
        <w:pStyle w:val="Heading2"/>
        <w:numPr>
          <w:ilvl w:val="0"/>
          <w:numId w:val="0"/>
        </w:numPr>
        <w:ind w:left="720" w:hanging="720"/>
      </w:pPr>
      <w:r>
        <w:lastRenderedPageBreak/>
        <w:t>Introduction</w:t>
      </w:r>
    </w:p>
    <w:p w14:paraId="5678532C" w14:textId="57B07FC1" w:rsidR="00893C33" w:rsidRDefault="004F10A7" w:rsidP="00893C33">
      <w:pPr>
        <w:pStyle w:val="BodyText"/>
      </w:pPr>
      <w:r>
        <w:t xml:space="preserve">The </w:t>
      </w:r>
      <w:r w:rsidR="00F90B04">
        <w:t>“</w:t>
      </w:r>
      <w:r w:rsidRPr="00FE64BA">
        <w:t xml:space="preserve">CME Term SOFR </w:t>
      </w:r>
      <w:r w:rsidR="002F31F5">
        <w:t xml:space="preserve">Daily </w:t>
      </w:r>
      <w:r w:rsidR="007F70EA">
        <w:t>Return Indices</w:t>
      </w:r>
      <w:r w:rsidR="00F90B04">
        <w:t>”</w:t>
      </w:r>
      <w:r w:rsidRPr="004F10A7">
        <w:t xml:space="preserve"> group of benchmarks</w:t>
      </w:r>
      <w:r>
        <w:t>,</w:t>
      </w:r>
      <w:r w:rsidRPr="004F10A7">
        <w:t xml:space="preserve"> provided by </w:t>
      </w:r>
      <w:r>
        <w:t>CME Group Benchmark Administration Limited</w:t>
      </w:r>
      <w:r w:rsidR="00BD3982">
        <w:t xml:space="preserve"> (CBA)</w:t>
      </w:r>
      <w:r>
        <w:t>,</w:t>
      </w:r>
      <w:r w:rsidRPr="004F10A7">
        <w:t xml:space="preserve"> </w:t>
      </w:r>
      <w:r>
        <w:t xml:space="preserve">are </w:t>
      </w:r>
      <w:r w:rsidRPr="004F10A7">
        <w:t>determined from input data of the same nature which provides specific measures of the same or similar market or economic reality</w:t>
      </w:r>
      <w:r w:rsidR="00F90B04">
        <w:t xml:space="preserve">; and therefore </w:t>
      </w:r>
      <w:r w:rsidR="00F90B04" w:rsidRPr="00FE64BA">
        <w:t xml:space="preserve">classified </w:t>
      </w:r>
      <w:r w:rsidR="00F90B04">
        <w:t>as a “family of benchmarks” under Article 3(1)(4) BMR.</w:t>
      </w:r>
    </w:p>
    <w:p w14:paraId="611B9A78" w14:textId="12D84B9E" w:rsidR="00893C33" w:rsidRDefault="00893C33" w:rsidP="00893C33">
      <w:pPr>
        <w:pStyle w:val="BodyText"/>
      </w:pPr>
      <w:r>
        <w:t xml:space="preserve">The </w:t>
      </w:r>
      <w:r w:rsidR="002F31F5" w:rsidRPr="00FE64BA">
        <w:t xml:space="preserve">CME Term SOFR </w:t>
      </w:r>
      <w:r w:rsidR="002F31F5">
        <w:t xml:space="preserve">Daily </w:t>
      </w:r>
      <w:r w:rsidR="007F70EA">
        <w:t>Return Indices</w:t>
      </w:r>
      <w:r w:rsidR="00386F4C">
        <w:t xml:space="preserve"> </w:t>
      </w:r>
      <w:r>
        <w:t xml:space="preserve">consist of </w:t>
      </w:r>
      <w:r w:rsidR="00D427E2" w:rsidRPr="00D427E2">
        <w:t xml:space="preserve">the </w:t>
      </w:r>
      <w:r w:rsidR="00386F4C">
        <w:t>following benchmarks:</w:t>
      </w:r>
    </w:p>
    <w:tbl>
      <w:tblPr>
        <w:tblStyle w:val="CMETable"/>
        <w:tblW w:w="6520" w:type="dxa"/>
        <w:jc w:val="center"/>
        <w:tblLook w:val="04A0" w:firstRow="1" w:lastRow="0" w:firstColumn="1" w:lastColumn="0" w:noHBand="0" w:noVBand="1"/>
      </w:tblPr>
      <w:tblGrid>
        <w:gridCol w:w="1701"/>
        <w:gridCol w:w="4819"/>
      </w:tblGrid>
      <w:tr w:rsidR="000E4203" w:rsidRPr="000E4203" w14:paraId="176EC4A9" w14:textId="77777777" w:rsidTr="000E4203">
        <w:trPr>
          <w:cnfStyle w:val="100000000000" w:firstRow="1" w:lastRow="0" w:firstColumn="0" w:lastColumn="0" w:oddVBand="0" w:evenVBand="0" w:oddHBand="0" w:evenHBand="0" w:firstRowFirstColumn="0" w:firstRowLastColumn="0" w:lastRowFirstColumn="0" w:lastRowLastColumn="0"/>
          <w:trHeight w:val="300"/>
          <w:jc w:val="center"/>
        </w:trPr>
        <w:tc>
          <w:tcPr>
            <w:tcW w:w="1701" w:type="dxa"/>
            <w:tcBorders>
              <w:top w:val="nil"/>
              <w:left w:val="nil"/>
              <w:bottom w:val="single" w:sz="4" w:space="0" w:color="C2CACE"/>
              <w:right w:val="nil"/>
            </w:tcBorders>
            <w:noWrap/>
            <w:hideMark/>
          </w:tcPr>
          <w:p w14:paraId="5883401B" w14:textId="77777777" w:rsidR="000E4203" w:rsidRPr="000E4203" w:rsidRDefault="000E4203">
            <w:pPr>
              <w:jc w:val="center"/>
              <w:rPr>
                <w:rFonts w:cstheme="minorHAnsi"/>
                <w:b/>
                <w:bCs/>
                <w:color w:val="FFFFFF" w:themeColor="background2"/>
              </w:rPr>
            </w:pPr>
            <w:r w:rsidRPr="000E4203">
              <w:rPr>
                <w:rFonts w:cstheme="minorHAnsi"/>
                <w:b/>
                <w:bCs/>
                <w:color w:val="FFFFFF" w:themeColor="background2"/>
              </w:rPr>
              <w:t>Index Ticker</w:t>
            </w:r>
          </w:p>
        </w:tc>
        <w:tc>
          <w:tcPr>
            <w:tcW w:w="4819" w:type="dxa"/>
            <w:tcBorders>
              <w:top w:val="nil"/>
              <w:left w:val="nil"/>
              <w:bottom w:val="single" w:sz="4" w:space="0" w:color="C2CACE"/>
              <w:right w:val="nil"/>
            </w:tcBorders>
            <w:noWrap/>
            <w:hideMark/>
          </w:tcPr>
          <w:p w14:paraId="3E3F24AD" w14:textId="77777777" w:rsidR="000E4203" w:rsidRPr="000E4203" w:rsidRDefault="000E4203">
            <w:pPr>
              <w:jc w:val="center"/>
              <w:rPr>
                <w:rFonts w:cstheme="minorHAnsi"/>
                <w:b/>
                <w:bCs/>
                <w:color w:val="FFFFFF" w:themeColor="background2"/>
              </w:rPr>
            </w:pPr>
            <w:r w:rsidRPr="000E4203">
              <w:rPr>
                <w:rFonts w:cstheme="minorHAnsi"/>
                <w:b/>
                <w:bCs/>
                <w:color w:val="FFFFFF" w:themeColor="background2"/>
              </w:rPr>
              <w:t>Index Name</w:t>
            </w:r>
          </w:p>
        </w:tc>
      </w:tr>
      <w:tr w:rsidR="000E4203" w:rsidRPr="000E4203" w14:paraId="1B9CE56D" w14:textId="77777777" w:rsidTr="000E4203">
        <w:trPr>
          <w:trHeight w:val="300"/>
          <w:jc w:val="center"/>
        </w:trPr>
        <w:tc>
          <w:tcPr>
            <w:tcW w:w="1701" w:type="dxa"/>
            <w:tcBorders>
              <w:top w:val="single" w:sz="4" w:space="0" w:color="C2CACE"/>
              <w:left w:val="nil"/>
              <w:bottom w:val="single" w:sz="4" w:space="0" w:color="C2CACE"/>
              <w:right w:val="nil"/>
            </w:tcBorders>
            <w:noWrap/>
            <w:hideMark/>
          </w:tcPr>
          <w:p w14:paraId="0F7B49A2" w14:textId="77777777" w:rsidR="000E4203" w:rsidRPr="000E4203" w:rsidRDefault="000E4203">
            <w:pPr>
              <w:jc w:val="center"/>
              <w:rPr>
                <w:rFonts w:cstheme="minorHAnsi"/>
                <w:color w:val="000000"/>
              </w:rPr>
            </w:pPr>
            <w:r w:rsidRPr="000E4203">
              <w:rPr>
                <w:rFonts w:cstheme="minorHAnsi"/>
                <w:color w:val="000000"/>
              </w:rPr>
              <w:t>TSFI01</w:t>
            </w:r>
          </w:p>
        </w:tc>
        <w:tc>
          <w:tcPr>
            <w:tcW w:w="4819" w:type="dxa"/>
            <w:tcBorders>
              <w:top w:val="single" w:sz="4" w:space="0" w:color="C2CACE"/>
              <w:left w:val="nil"/>
              <w:bottom w:val="single" w:sz="4" w:space="0" w:color="C2CACE"/>
              <w:right w:val="nil"/>
            </w:tcBorders>
            <w:noWrap/>
            <w:hideMark/>
          </w:tcPr>
          <w:p w14:paraId="07C49536" w14:textId="77777777" w:rsidR="000E4203" w:rsidRPr="000E4203" w:rsidRDefault="000E4203">
            <w:pPr>
              <w:jc w:val="center"/>
              <w:rPr>
                <w:rFonts w:cstheme="minorHAnsi"/>
                <w:color w:val="000000"/>
              </w:rPr>
            </w:pPr>
            <w:r w:rsidRPr="000E4203">
              <w:rPr>
                <w:rFonts w:cstheme="minorHAnsi"/>
                <w:color w:val="000000"/>
              </w:rPr>
              <w:t>1-Month Term SOFR Daily Return Index</w:t>
            </w:r>
          </w:p>
        </w:tc>
      </w:tr>
      <w:tr w:rsidR="000E4203" w:rsidRPr="000E4203" w14:paraId="0AF0B607" w14:textId="77777777" w:rsidTr="000E4203">
        <w:trPr>
          <w:trHeight w:val="300"/>
          <w:jc w:val="center"/>
        </w:trPr>
        <w:tc>
          <w:tcPr>
            <w:tcW w:w="1701" w:type="dxa"/>
            <w:tcBorders>
              <w:top w:val="single" w:sz="4" w:space="0" w:color="C2CACE"/>
              <w:left w:val="nil"/>
              <w:bottom w:val="single" w:sz="4" w:space="0" w:color="C2CACE"/>
              <w:right w:val="nil"/>
            </w:tcBorders>
            <w:noWrap/>
            <w:hideMark/>
          </w:tcPr>
          <w:p w14:paraId="6D1A51E6" w14:textId="77777777" w:rsidR="000E4203" w:rsidRPr="000E4203" w:rsidRDefault="000E4203">
            <w:pPr>
              <w:jc w:val="center"/>
              <w:rPr>
                <w:rFonts w:cstheme="minorHAnsi"/>
                <w:color w:val="000000"/>
              </w:rPr>
            </w:pPr>
            <w:r w:rsidRPr="000E4203">
              <w:rPr>
                <w:rFonts w:cstheme="minorHAnsi"/>
                <w:color w:val="000000"/>
              </w:rPr>
              <w:t>TSFI03</w:t>
            </w:r>
          </w:p>
        </w:tc>
        <w:tc>
          <w:tcPr>
            <w:tcW w:w="4819" w:type="dxa"/>
            <w:tcBorders>
              <w:top w:val="single" w:sz="4" w:space="0" w:color="C2CACE"/>
              <w:left w:val="nil"/>
              <w:bottom w:val="single" w:sz="4" w:space="0" w:color="C2CACE"/>
              <w:right w:val="nil"/>
            </w:tcBorders>
            <w:noWrap/>
            <w:hideMark/>
          </w:tcPr>
          <w:p w14:paraId="25C4D373" w14:textId="77777777" w:rsidR="000E4203" w:rsidRPr="000E4203" w:rsidRDefault="000E4203">
            <w:pPr>
              <w:jc w:val="center"/>
              <w:rPr>
                <w:rFonts w:cstheme="minorHAnsi"/>
                <w:color w:val="000000"/>
              </w:rPr>
            </w:pPr>
            <w:r w:rsidRPr="000E4203">
              <w:rPr>
                <w:rFonts w:cstheme="minorHAnsi"/>
                <w:color w:val="000000"/>
              </w:rPr>
              <w:t>3-Month Term SOFR Daily Return Index</w:t>
            </w:r>
          </w:p>
        </w:tc>
      </w:tr>
      <w:tr w:rsidR="000E4203" w:rsidRPr="000E4203" w14:paraId="5C3AC8D7" w14:textId="77777777" w:rsidTr="000E4203">
        <w:trPr>
          <w:trHeight w:val="300"/>
          <w:jc w:val="center"/>
        </w:trPr>
        <w:tc>
          <w:tcPr>
            <w:tcW w:w="1701" w:type="dxa"/>
            <w:tcBorders>
              <w:top w:val="single" w:sz="4" w:space="0" w:color="C2CACE"/>
              <w:left w:val="nil"/>
              <w:bottom w:val="single" w:sz="4" w:space="0" w:color="C2CACE"/>
              <w:right w:val="nil"/>
            </w:tcBorders>
            <w:noWrap/>
            <w:hideMark/>
          </w:tcPr>
          <w:p w14:paraId="4F83D673" w14:textId="77777777" w:rsidR="000E4203" w:rsidRPr="000E4203" w:rsidRDefault="000E4203">
            <w:pPr>
              <w:jc w:val="center"/>
              <w:rPr>
                <w:rFonts w:cstheme="minorHAnsi"/>
                <w:color w:val="000000"/>
              </w:rPr>
            </w:pPr>
            <w:r w:rsidRPr="000E4203">
              <w:rPr>
                <w:rFonts w:cstheme="minorHAnsi"/>
                <w:color w:val="000000"/>
              </w:rPr>
              <w:t>TSFI06</w:t>
            </w:r>
          </w:p>
        </w:tc>
        <w:tc>
          <w:tcPr>
            <w:tcW w:w="4819" w:type="dxa"/>
            <w:tcBorders>
              <w:top w:val="single" w:sz="4" w:space="0" w:color="C2CACE"/>
              <w:left w:val="nil"/>
              <w:bottom w:val="single" w:sz="4" w:space="0" w:color="C2CACE"/>
              <w:right w:val="nil"/>
            </w:tcBorders>
            <w:noWrap/>
            <w:hideMark/>
          </w:tcPr>
          <w:p w14:paraId="0FC6E48E" w14:textId="77777777" w:rsidR="000E4203" w:rsidRPr="000E4203" w:rsidRDefault="000E4203">
            <w:pPr>
              <w:jc w:val="center"/>
              <w:rPr>
                <w:rFonts w:cstheme="minorHAnsi"/>
                <w:color w:val="000000"/>
              </w:rPr>
            </w:pPr>
            <w:r w:rsidRPr="000E4203">
              <w:rPr>
                <w:rFonts w:cstheme="minorHAnsi"/>
                <w:color w:val="000000"/>
              </w:rPr>
              <w:t>6-Month Term SOFR Daily Return Index</w:t>
            </w:r>
          </w:p>
        </w:tc>
      </w:tr>
      <w:tr w:rsidR="000E4203" w:rsidRPr="000E4203" w14:paraId="6D89C615" w14:textId="77777777" w:rsidTr="000E4203">
        <w:trPr>
          <w:trHeight w:val="300"/>
          <w:jc w:val="center"/>
        </w:trPr>
        <w:tc>
          <w:tcPr>
            <w:tcW w:w="1701" w:type="dxa"/>
            <w:tcBorders>
              <w:top w:val="single" w:sz="4" w:space="0" w:color="C2CACE"/>
              <w:left w:val="nil"/>
              <w:bottom w:val="single" w:sz="4" w:space="0" w:color="C2CACE"/>
              <w:right w:val="nil"/>
            </w:tcBorders>
            <w:noWrap/>
            <w:hideMark/>
          </w:tcPr>
          <w:p w14:paraId="5637D538" w14:textId="77777777" w:rsidR="000E4203" w:rsidRPr="000E4203" w:rsidRDefault="000E4203">
            <w:pPr>
              <w:jc w:val="center"/>
              <w:rPr>
                <w:rFonts w:cstheme="minorHAnsi"/>
                <w:color w:val="000000"/>
              </w:rPr>
            </w:pPr>
            <w:r w:rsidRPr="000E4203">
              <w:rPr>
                <w:rFonts w:cstheme="minorHAnsi"/>
                <w:color w:val="000000"/>
              </w:rPr>
              <w:t>TSFI12</w:t>
            </w:r>
          </w:p>
        </w:tc>
        <w:tc>
          <w:tcPr>
            <w:tcW w:w="4819" w:type="dxa"/>
            <w:tcBorders>
              <w:top w:val="single" w:sz="4" w:space="0" w:color="C2CACE"/>
              <w:left w:val="nil"/>
              <w:bottom w:val="single" w:sz="4" w:space="0" w:color="C2CACE"/>
              <w:right w:val="nil"/>
            </w:tcBorders>
            <w:noWrap/>
            <w:hideMark/>
          </w:tcPr>
          <w:p w14:paraId="36FB9B83" w14:textId="77777777" w:rsidR="000E4203" w:rsidRPr="000E4203" w:rsidRDefault="000E4203">
            <w:pPr>
              <w:jc w:val="center"/>
              <w:rPr>
                <w:rFonts w:cstheme="minorHAnsi"/>
                <w:color w:val="000000"/>
              </w:rPr>
            </w:pPr>
            <w:r w:rsidRPr="000E4203">
              <w:rPr>
                <w:rFonts w:cstheme="minorHAnsi"/>
                <w:color w:val="000000"/>
              </w:rPr>
              <w:t>12-Month Term SOFR Daily Return Index</w:t>
            </w:r>
          </w:p>
        </w:tc>
      </w:tr>
      <w:tr w:rsidR="000E4203" w:rsidRPr="000E4203" w14:paraId="6163F3FD" w14:textId="77777777" w:rsidTr="000E4203">
        <w:trPr>
          <w:trHeight w:val="300"/>
          <w:jc w:val="center"/>
        </w:trPr>
        <w:tc>
          <w:tcPr>
            <w:tcW w:w="1701" w:type="dxa"/>
            <w:tcBorders>
              <w:top w:val="single" w:sz="4" w:space="0" w:color="C2CACE"/>
              <w:left w:val="nil"/>
              <w:bottom w:val="single" w:sz="4" w:space="0" w:color="C2CACE"/>
              <w:right w:val="nil"/>
            </w:tcBorders>
            <w:noWrap/>
            <w:vAlign w:val="bottom"/>
            <w:hideMark/>
          </w:tcPr>
          <w:p w14:paraId="5980F722" w14:textId="77777777" w:rsidR="000E4203" w:rsidRPr="000E4203" w:rsidRDefault="000E4203">
            <w:pPr>
              <w:jc w:val="center"/>
              <w:rPr>
                <w:rFonts w:cstheme="minorHAnsi"/>
                <w:color w:val="000000"/>
              </w:rPr>
            </w:pPr>
            <w:r w:rsidRPr="000E4203">
              <w:rPr>
                <w:rFonts w:cstheme="minorHAnsi"/>
                <w:color w:val="000000"/>
              </w:rPr>
              <w:t>TSFI0105</w:t>
            </w:r>
          </w:p>
        </w:tc>
        <w:tc>
          <w:tcPr>
            <w:tcW w:w="4819" w:type="dxa"/>
            <w:tcBorders>
              <w:top w:val="single" w:sz="4" w:space="0" w:color="C2CACE"/>
              <w:left w:val="nil"/>
              <w:bottom w:val="single" w:sz="4" w:space="0" w:color="C2CACE"/>
              <w:right w:val="nil"/>
            </w:tcBorders>
            <w:noWrap/>
            <w:vAlign w:val="bottom"/>
            <w:hideMark/>
          </w:tcPr>
          <w:p w14:paraId="4395B595" w14:textId="77777777" w:rsidR="000E4203" w:rsidRPr="000E4203" w:rsidRDefault="000E4203">
            <w:pPr>
              <w:jc w:val="center"/>
              <w:rPr>
                <w:rFonts w:cstheme="minorHAnsi"/>
                <w:color w:val="000000"/>
              </w:rPr>
            </w:pPr>
            <w:r w:rsidRPr="000E4203">
              <w:rPr>
                <w:rFonts w:cstheme="minorHAnsi"/>
                <w:color w:val="000000"/>
              </w:rPr>
              <w:t>1-Month Term SOFR +5bps Daily Return Index</w:t>
            </w:r>
          </w:p>
        </w:tc>
      </w:tr>
      <w:tr w:rsidR="000E4203" w:rsidRPr="000E4203" w14:paraId="4333A408" w14:textId="77777777" w:rsidTr="000E4203">
        <w:trPr>
          <w:trHeight w:val="300"/>
          <w:jc w:val="center"/>
        </w:trPr>
        <w:tc>
          <w:tcPr>
            <w:tcW w:w="1701" w:type="dxa"/>
            <w:tcBorders>
              <w:top w:val="single" w:sz="4" w:space="0" w:color="C2CACE"/>
              <w:left w:val="nil"/>
              <w:bottom w:val="single" w:sz="4" w:space="0" w:color="C2CACE"/>
              <w:right w:val="nil"/>
            </w:tcBorders>
            <w:noWrap/>
            <w:vAlign w:val="bottom"/>
            <w:hideMark/>
          </w:tcPr>
          <w:p w14:paraId="5294091A" w14:textId="77777777" w:rsidR="000E4203" w:rsidRPr="000E4203" w:rsidRDefault="000E4203">
            <w:pPr>
              <w:jc w:val="center"/>
              <w:rPr>
                <w:rFonts w:cstheme="minorHAnsi"/>
                <w:color w:val="000000"/>
              </w:rPr>
            </w:pPr>
            <w:r w:rsidRPr="000E4203">
              <w:rPr>
                <w:rFonts w:cstheme="minorHAnsi"/>
                <w:color w:val="000000"/>
              </w:rPr>
              <w:t>TSFI0305</w:t>
            </w:r>
          </w:p>
        </w:tc>
        <w:tc>
          <w:tcPr>
            <w:tcW w:w="4819" w:type="dxa"/>
            <w:tcBorders>
              <w:top w:val="single" w:sz="4" w:space="0" w:color="C2CACE"/>
              <w:left w:val="nil"/>
              <w:bottom w:val="single" w:sz="4" w:space="0" w:color="C2CACE"/>
              <w:right w:val="nil"/>
            </w:tcBorders>
            <w:noWrap/>
            <w:vAlign w:val="bottom"/>
            <w:hideMark/>
          </w:tcPr>
          <w:p w14:paraId="142DFC45" w14:textId="77777777" w:rsidR="000E4203" w:rsidRPr="000E4203" w:rsidRDefault="000E4203">
            <w:pPr>
              <w:jc w:val="center"/>
              <w:rPr>
                <w:rFonts w:cstheme="minorHAnsi"/>
                <w:color w:val="000000"/>
              </w:rPr>
            </w:pPr>
            <w:r w:rsidRPr="000E4203">
              <w:rPr>
                <w:rFonts w:cstheme="minorHAnsi"/>
                <w:color w:val="000000"/>
              </w:rPr>
              <w:t>3-Month Term SOFR +5bps Daily Return Index</w:t>
            </w:r>
          </w:p>
        </w:tc>
      </w:tr>
      <w:tr w:rsidR="000E4203" w:rsidRPr="000E4203" w14:paraId="5E0528D0" w14:textId="77777777" w:rsidTr="000E4203">
        <w:trPr>
          <w:trHeight w:val="300"/>
          <w:jc w:val="center"/>
        </w:trPr>
        <w:tc>
          <w:tcPr>
            <w:tcW w:w="1701" w:type="dxa"/>
            <w:tcBorders>
              <w:top w:val="single" w:sz="4" w:space="0" w:color="C2CACE"/>
              <w:left w:val="nil"/>
              <w:bottom w:val="single" w:sz="4" w:space="0" w:color="C2CACE"/>
              <w:right w:val="nil"/>
            </w:tcBorders>
            <w:noWrap/>
            <w:vAlign w:val="bottom"/>
            <w:hideMark/>
          </w:tcPr>
          <w:p w14:paraId="2F288CE4" w14:textId="77777777" w:rsidR="000E4203" w:rsidRPr="000E4203" w:rsidRDefault="000E4203">
            <w:pPr>
              <w:jc w:val="center"/>
              <w:rPr>
                <w:rFonts w:cstheme="minorHAnsi"/>
                <w:color w:val="000000"/>
              </w:rPr>
            </w:pPr>
            <w:r w:rsidRPr="000E4203">
              <w:rPr>
                <w:rFonts w:cstheme="minorHAnsi"/>
                <w:color w:val="000000"/>
              </w:rPr>
              <w:t>TSFI0605</w:t>
            </w:r>
          </w:p>
        </w:tc>
        <w:tc>
          <w:tcPr>
            <w:tcW w:w="4819" w:type="dxa"/>
            <w:tcBorders>
              <w:top w:val="single" w:sz="4" w:space="0" w:color="C2CACE"/>
              <w:left w:val="nil"/>
              <w:bottom w:val="single" w:sz="4" w:space="0" w:color="C2CACE"/>
              <w:right w:val="nil"/>
            </w:tcBorders>
            <w:noWrap/>
            <w:vAlign w:val="bottom"/>
            <w:hideMark/>
          </w:tcPr>
          <w:p w14:paraId="41B1D355" w14:textId="77777777" w:rsidR="000E4203" w:rsidRPr="000E4203" w:rsidRDefault="000E4203">
            <w:pPr>
              <w:jc w:val="center"/>
              <w:rPr>
                <w:rFonts w:cstheme="minorHAnsi"/>
                <w:color w:val="000000"/>
              </w:rPr>
            </w:pPr>
            <w:r w:rsidRPr="000E4203">
              <w:rPr>
                <w:rFonts w:cstheme="minorHAnsi"/>
                <w:color w:val="000000"/>
              </w:rPr>
              <w:t>6-Month Term SOFR +5bps Daily Return Index</w:t>
            </w:r>
          </w:p>
        </w:tc>
      </w:tr>
      <w:tr w:rsidR="000E4203" w:rsidRPr="000E4203" w14:paraId="2AFBC7A0" w14:textId="77777777" w:rsidTr="000E4203">
        <w:trPr>
          <w:trHeight w:val="300"/>
          <w:jc w:val="center"/>
        </w:trPr>
        <w:tc>
          <w:tcPr>
            <w:tcW w:w="1701" w:type="dxa"/>
            <w:tcBorders>
              <w:top w:val="single" w:sz="4" w:space="0" w:color="C2CACE"/>
              <w:left w:val="nil"/>
              <w:bottom w:val="single" w:sz="4" w:space="0" w:color="C2CACE"/>
              <w:right w:val="nil"/>
            </w:tcBorders>
            <w:noWrap/>
            <w:vAlign w:val="bottom"/>
            <w:hideMark/>
          </w:tcPr>
          <w:p w14:paraId="06FB919A" w14:textId="77777777" w:rsidR="000E4203" w:rsidRPr="000E4203" w:rsidRDefault="000E4203">
            <w:pPr>
              <w:jc w:val="center"/>
              <w:rPr>
                <w:rFonts w:cstheme="minorHAnsi"/>
                <w:color w:val="000000"/>
              </w:rPr>
            </w:pPr>
            <w:r w:rsidRPr="000E4203">
              <w:rPr>
                <w:rFonts w:cstheme="minorHAnsi"/>
                <w:color w:val="000000"/>
              </w:rPr>
              <w:t>TSFI1205</w:t>
            </w:r>
          </w:p>
        </w:tc>
        <w:tc>
          <w:tcPr>
            <w:tcW w:w="4819" w:type="dxa"/>
            <w:tcBorders>
              <w:top w:val="single" w:sz="4" w:space="0" w:color="C2CACE"/>
              <w:left w:val="nil"/>
              <w:bottom w:val="single" w:sz="4" w:space="0" w:color="C2CACE"/>
              <w:right w:val="nil"/>
            </w:tcBorders>
            <w:noWrap/>
            <w:vAlign w:val="bottom"/>
            <w:hideMark/>
          </w:tcPr>
          <w:p w14:paraId="7C0D72D8" w14:textId="77777777" w:rsidR="000E4203" w:rsidRPr="000E4203" w:rsidRDefault="000E4203">
            <w:pPr>
              <w:jc w:val="center"/>
              <w:rPr>
                <w:rFonts w:cstheme="minorHAnsi"/>
                <w:color w:val="000000"/>
              </w:rPr>
            </w:pPr>
            <w:r w:rsidRPr="000E4203">
              <w:rPr>
                <w:rFonts w:cstheme="minorHAnsi"/>
                <w:color w:val="000000"/>
              </w:rPr>
              <w:t>12-Month Term SOFR +5bps Daily Return Index</w:t>
            </w:r>
          </w:p>
        </w:tc>
      </w:tr>
      <w:tr w:rsidR="000E4203" w:rsidRPr="000E4203" w14:paraId="17BC8E04" w14:textId="77777777" w:rsidTr="000E4203">
        <w:trPr>
          <w:trHeight w:val="300"/>
          <w:jc w:val="center"/>
        </w:trPr>
        <w:tc>
          <w:tcPr>
            <w:tcW w:w="1701" w:type="dxa"/>
            <w:tcBorders>
              <w:top w:val="single" w:sz="4" w:space="0" w:color="C2CACE"/>
              <w:left w:val="nil"/>
              <w:bottom w:val="single" w:sz="4" w:space="0" w:color="C2CACE"/>
              <w:right w:val="nil"/>
            </w:tcBorders>
            <w:noWrap/>
            <w:vAlign w:val="bottom"/>
            <w:hideMark/>
          </w:tcPr>
          <w:p w14:paraId="1826020B" w14:textId="77777777" w:rsidR="000E4203" w:rsidRPr="000E4203" w:rsidRDefault="000E4203">
            <w:pPr>
              <w:jc w:val="center"/>
              <w:rPr>
                <w:rFonts w:cstheme="minorHAnsi"/>
                <w:color w:val="000000"/>
              </w:rPr>
            </w:pPr>
            <w:r w:rsidRPr="000E4203">
              <w:rPr>
                <w:rFonts w:cstheme="minorHAnsi"/>
                <w:color w:val="000000"/>
              </w:rPr>
              <w:t>TSFI0108</w:t>
            </w:r>
          </w:p>
        </w:tc>
        <w:tc>
          <w:tcPr>
            <w:tcW w:w="4819" w:type="dxa"/>
            <w:tcBorders>
              <w:top w:val="single" w:sz="4" w:space="0" w:color="C2CACE"/>
              <w:left w:val="nil"/>
              <w:bottom w:val="single" w:sz="4" w:space="0" w:color="C2CACE"/>
              <w:right w:val="nil"/>
            </w:tcBorders>
            <w:noWrap/>
            <w:vAlign w:val="bottom"/>
            <w:hideMark/>
          </w:tcPr>
          <w:p w14:paraId="05292D53" w14:textId="77777777" w:rsidR="000E4203" w:rsidRPr="000E4203" w:rsidRDefault="000E4203">
            <w:pPr>
              <w:jc w:val="center"/>
              <w:rPr>
                <w:rFonts w:cstheme="minorHAnsi"/>
                <w:color w:val="000000"/>
              </w:rPr>
            </w:pPr>
            <w:r w:rsidRPr="000E4203">
              <w:rPr>
                <w:rFonts w:cstheme="minorHAnsi"/>
                <w:color w:val="000000"/>
              </w:rPr>
              <w:t>1-Month Term SOFR +8bps Daily Return Index</w:t>
            </w:r>
          </w:p>
        </w:tc>
      </w:tr>
      <w:tr w:rsidR="000E4203" w:rsidRPr="000E4203" w14:paraId="501521C9" w14:textId="77777777" w:rsidTr="000E4203">
        <w:trPr>
          <w:trHeight w:val="300"/>
          <w:jc w:val="center"/>
        </w:trPr>
        <w:tc>
          <w:tcPr>
            <w:tcW w:w="1701" w:type="dxa"/>
            <w:tcBorders>
              <w:top w:val="single" w:sz="4" w:space="0" w:color="C2CACE"/>
              <w:left w:val="nil"/>
              <w:bottom w:val="single" w:sz="4" w:space="0" w:color="C2CACE"/>
              <w:right w:val="nil"/>
            </w:tcBorders>
            <w:noWrap/>
            <w:vAlign w:val="bottom"/>
            <w:hideMark/>
          </w:tcPr>
          <w:p w14:paraId="37A0E028" w14:textId="77777777" w:rsidR="000E4203" w:rsidRPr="000E4203" w:rsidRDefault="000E4203">
            <w:pPr>
              <w:jc w:val="center"/>
              <w:rPr>
                <w:rFonts w:cstheme="minorHAnsi"/>
                <w:color w:val="000000"/>
              </w:rPr>
            </w:pPr>
            <w:r w:rsidRPr="000E4203">
              <w:rPr>
                <w:rFonts w:cstheme="minorHAnsi"/>
                <w:color w:val="000000"/>
              </w:rPr>
              <w:t>TSFI0308</w:t>
            </w:r>
          </w:p>
        </w:tc>
        <w:tc>
          <w:tcPr>
            <w:tcW w:w="4819" w:type="dxa"/>
            <w:tcBorders>
              <w:top w:val="single" w:sz="4" w:space="0" w:color="C2CACE"/>
              <w:left w:val="nil"/>
              <w:bottom w:val="single" w:sz="4" w:space="0" w:color="C2CACE"/>
              <w:right w:val="nil"/>
            </w:tcBorders>
            <w:noWrap/>
            <w:vAlign w:val="bottom"/>
            <w:hideMark/>
          </w:tcPr>
          <w:p w14:paraId="31C43AEB" w14:textId="77777777" w:rsidR="000E4203" w:rsidRPr="000E4203" w:rsidRDefault="000E4203">
            <w:pPr>
              <w:jc w:val="center"/>
              <w:rPr>
                <w:rFonts w:cstheme="minorHAnsi"/>
                <w:color w:val="000000"/>
              </w:rPr>
            </w:pPr>
            <w:r w:rsidRPr="000E4203">
              <w:rPr>
                <w:rFonts w:cstheme="minorHAnsi"/>
                <w:color w:val="000000"/>
              </w:rPr>
              <w:t>3-Month Term SOFR +8bps Daily Return Index</w:t>
            </w:r>
          </w:p>
        </w:tc>
      </w:tr>
      <w:tr w:rsidR="000E4203" w:rsidRPr="000E4203" w14:paraId="38F127CE" w14:textId="77777777" w:rsidTr="000E4203">
        <w:trPr>
          <w:trHeight w:val="300"/>
          <w:jc w:val="center"/>
        </w:trPr>
        <w:tc>
          <w:tcPr>
            <w:tcW w:w="1701" w:type="dxa"/>
            <w:tcBorders>
              <w:top w:val="single" w:sz="4" w:space="0" w:color="C2CACE"/>
              <w:left w:val="nil"/>
              <w:bottom w:val="single" w:sz="4" w:space="0" w:color="C2CACE"/>
              <w:right w:val="nil"/>
            </w:tcBorders>
            <w:noWrap/>
            <w:vAlign w:val="bottom"/>
            <w:hideMark/>
          </w:tcPr>
          <w:p w14:paraId="55BE02BF" w14:textId="77777777" w:rsidR="000E4203" w:rsidRPr="000E4203" w:rsidRDefault="000E4203">
            <w:pPr>
              <w:jc w:val="center"/>
              <w:rPr>
                <w:rFonts w:cstheme="minorHAnsi"/>
                <w:color w:val="000000"/>
              </w:rPr>
            </w:pPr>
            <w:r w:rsidRPr="000E4203">
              <w:rPr>
                <w:rFonts w:cstheme="minorHAnsi"/>
                <w:color w:val="000000"/>
              </w:rPr>
              <w:t>TSFI0608</w:t>
            </w:r>
          </w:p>
        </w:tc>
        <w:tc>
          <w:tcPr>
            <w:tcW w:w="4819" w:type="dxa"/>
            <w:tcBorders>
              <w:top w:val="single" w:sz="4" w:space="0" w:color="C2CACE"/>
              <w:left w:val="nil"/>
              <w:bottom w:val="single" w:sz="4" w:space="0" w:color="C2CACE"/>
              <w:right w:val="nil"/>
            </w:tcBorders>
            <w:noWrap/>
            <w:vAlign w:val="bottom"/>
            <w:hideMark/>
          </w:tcPr>
          <w:p w14:paraId="757C3459" w14:textId="77777777" w:rsidR="000E4203" w:rsidRPr="000E4203" w:rsidRDefault="000E4203">
            <w:pPr>
              <w:jc w:val="center"/>
              <w:rPr>
                <w:rFonts w:cstheme="minorHAnsi"/>
                <w:color w:val="000000"/>
              </w:rPr>
            </w:pPr>
            <w:r w:rsidRPr="000E4203">
              <w:rPr>
                <w:rFonts w:cstheme="minorHAnsi"/>
                <w:color w:val="000000"/>
              </w:rPr>
              <w:t>6-Month Term SOFR +8bps Daily Return Index</w:t>
            </w:r>
          </w:p>
        </w:tc>
      </w:tr>
      <w:tr w:rsidR="000E4203" w:rsidRPr="000E4203" w14:paraId="49497F7A" w14:textId="77777777" w:rsidTr="000E4203">
        <w:trPr>
          <w:trHeight w:val="300"/>
          <w:jc w:val="center"/>
        </w:trPr>
        <w:tc>
          <w:tcPr>
            <w:tcW w:w="1701" w:type="dxa"/>
            <w:tcBorders>
              <w:top w:val="single" w:sz="4" w:space="0" w:color="C2CACE"/>
              <w:left w:val="nil"/>
              <w:bottom w:val="single" w:sz="4" w:space="0" w:color="C2CACE"/>
              <w:right w:val="nil"/>
            </w:tcBorders>
            <w:noWrap/>
            <w:vAlign w:val="bottom"/>
            <w:hideMark/>
          </w:tcPr>
          <w:p w14:paraId="1690CBDA" w14:textId="77777777" w:rsidR="000E4203" w:rsidRPr="000E4203" w:rsidRDefault="000E4203">
            <w:pPr>
              <w:jc w:val="center"/>
              <w:rPr>
                <w:rFonts w:cstheme="minorHAnsi"/>
                <w:color w:val="000000"/>
              </w:rPr>
            </w:pPr>
            <w:r w:rsidRPr="000E4203">
              <w:rPr>
                <w:rFonts w:cstheme="minorHAnsi"/>
                <w:color w:val="000000"/>
              </w:rPr>
              <w:t>TSFI1208</w:t>
            </w:r>
          </w:p>
        </w:tc>
        <w:tc>
          <w:tcPr>
            <w:tcW w:w="4819" w:type="dxa"/>
            <w:tcBorders>
              <w:top w:val="single" w:sz="4" w:space="0" w:color="C2CACE"/>
              <w:left w:val="nil"/>
              <w:bottom w:val="single" w:sz="4" w:space="0" w:color="C2CACE"/>
              <w:right w:val="nil"/>
            </w:tcBorders>
            <w:noWrap/>
            <w:vAlign w:val="bottom"/>
            <w:hideMark/>
          </w:tcPr>
          <w:p w14:paraId="4BE91EA5" w14:textId="77777777" w:rsidR="000E4203" w:rsidRPr="000E4203" w:rsidRDefault="000E4203">
            <w:pPr>
              <w:jc w:val="center"/>
              <w:rPr>
                <w:rFonts w:cstheme="minorHAnsi"/>
                <w:color w:val="000000"/>
              </w:rPr>
            </w:pPr>
            <w:r w:rsidRPr="000E4203">
              <w:rPr>
                <w:rFonts w:cstheme="minorHAnsi"/>
                <w:color w:val="000000"/>
              </w:rPr>
              <w:t>12-Month Term SOFR +8bps Daily Return Index</w:t>
            </w:r>
          </w:p>
        </w:tc>
      </w:tr>
      <w:tr w:rsidR="000E4203" w:rsidRPr="000E4203" w14:paraId="6640ABEA" w14:textId="77777777" w:rsidTr="000E4203">
        <w:trPr>
          <w:trHeight w:val="300"/>
          <w:jc w:val="center"/>
        </w:trPr>
        <w:tc>
          <w:tcPr>
            <w:tcW w:w="1701" w:type="dxa"/>
            <w:tcBorders>
              <w:top w:val="single" w:sz="4" w:space="0" w:color="C2CACE"/>
              <w:left w:val="nil"/>
              <w:bottom w:val="single" w:sz="4" w:space="0" w:color="C2CACE"/>
              <w:right w:val="nil"/>
            </w:tcBorders>
            <w:noWrap/>
            <w:vAlign w:val="bottom"/>
            <w:hideMark/>
          </w:tcPr>
          <w:p w14:paraId="23AC3580" w14:textId="77777777" w:rsidR="000E4203" w:rsidRPr="000E4203" w:rsidRDefault="000E4203">
            <w:pPr>
              <w:jc w:val="center"/>
              <w:rPr>
                <w:rFonts w:cstheme="minorHAnsi"/>
                <w:color w:val="000000"/>
              </w:rPr>
            </w:pPr>
            <w:r w:rsidRPr="000E4203">
              <w:rPr>
                <w:rFonts w:cstheme="minorHAnsi"/>
                <w:color w:val="000000"/>
              </w:rPr>
              <w:t>TSFI0110</w:t>
            </w:r>
          </w:p>
        </w:tc>
        <w:tc>
          <w:tcPr>
            <w:tcW w:w="4819" w:type="dxa"/>
            <w:tcBorders>
              <w:top w:val="single" w:sz="4" w:space="0" w:color="C2CACE"/>
              <w:left w:val="nil"/>
              <w:bottom w:val="single" w:sz="4" w:space="0" w:color="C2CACE"/>
              <w:right w:val="nil"/>
            </w:tcBorders>
            <w:noWrap/>
            <w:vAlign w:val="bottom"/>
            <w:hideMark/>
          </w:tcPr>
          <w:p w14:paraId="208D4299" w14:textId="77777777" w:rsidR="000E4203" w:rsidRPr="000E4203" w:rsidRDefault="000E4203">
            <w:pPr>
              <w:jc w:val="center"/>
              <w:rPr>
                <w:rFonts w:cstheme="minorHAnsi"/>
                <w:color w:val="000000"/>
              </w:rPr>
            </w:pPr>
            <w:r w:rsidRPr="000E4203">
              <w:rPr>
                <w:rFonts w:cstheme="minorHAnsi"/>
                <w:color w:val="000000"/>
              </w:rPr>
              <w:t>1-Month Term SOFR +10bps Daily Return Index</w:t>
            </w:r>
          </w:p>
        </w:tc>
      </w:tr>
      <w:tr w:rsidR="000E4203" w:rsidRPr="000E4203" w14:paraId="36037884" w14:textId="77777777" w:rsidTr="000E4203">
        <w:trPr>
          <w:trHeight w:val="300"/>
          <w:jc w:val="center"/>
        </w:trPr>
        <w:tc>
          <w:tcPr>
            <w:tcW w:w="1701" w:type="dxa"/>
            <w:tcBorders>
              <w:top w:val="single" w:sz="4" w:space="0" w:color="C2CACE"/>
              <w:left w:val="nil"/>
              <w:bottom w:val="single" w:sz="4" w:space="0" w:color="C2CACE"/>
              <w:right w:val="nil"/>
            </w:tcBorders>
            <w:noWrap/>
            <w:vAlign w:val="bottom"/>
            <w:hideMark/>
          </w:tcPr>
          <w:p w14:paraId="5A102305" w14:textId="77777777" w:rsidR="000E4203" w:rsidRPr="000E4203" w:rsidRDefault="000E4203">
            <w:pPr>
              <w:jc w:val="center"/>
              <w:rPr>
                <w:rFonts w:cstheme="minorHAnsi"/>
                <w:color w:val="000000"/>
              </w:rPr>
            </w:pPr>
            <w:r w:rsidRPr="000E4203">
              <w:rPr>
                <w:rFonts w:cstheme="minorHAnsi"/>
                <w:color w:val="000000"/>
              </w:rPr>
              <w:t>TSFI0310</w:t>
            </w:r>
          </w:p>
        </w:tc>
        <w:tc>
          <w:tcPr>
            <w:tcW w:w="4819" w:type="dxa"/>
            <w:tcBorders>
              <w:top w:val="single" w:sz="4" w:space="0" w:color="C2CACE"/>
              <w:left w:val="nil"/>
              <w:bottom w:val="single" w:sz="4" w:space="0" w:color="C2CACE"/>
              <w:right w:val="nil"/>
            </w:tcBorders>
            <w:noWrap/>
            <w:vAlign w:val="bottom"/>
            <w:hideMark/>
          </w:tcPr>
          <w:p w14:paraId="381C700D" w14:textId="77777777" w:rsidR="000E4203" w:rsidRPr="000E4203" w:rsidRDefault="000E4203">
            <w:pPr>
              <w:jc w:val="center"/>
              <w:rPr>
                <w:rFonts w:cstheme="minorHAnsi"/>
                <w:color w:val="000000"/>
              </w:rPr>
            </w:pPr>
            <w:r w:rsidRPr="000E4203">
              <w:rPr>
                <w:rFonts w:cstheme="minorHAnsi"/>
                <w:color w:val="000000"/>
              </w:rPr>
              <w:t>3-Month Term SOFR +10bps Daily Return Index</w:t>
            </w:r>
          </w:p>
        </w:tc>
      </w:tr>
      <w:tr w:rsidR="000E4203" w:rsidRPr="000E4203" w14:paraId="56263F76" w14:textId="77777777" w:rsidTr="000E4203">
        <w:trPr>
          <w:trHeight w:val="300"/>
          <w:jc w:val="center"/>
        </w:trPr>
        <w:tc>
          <w:tcPr>
            <w:tcW w:w="1701" w:type="dxa"/>
            <w:tcBorders>
              <w:top w:val="single" w:sz="4" w:space="0" w:color="C2CACE"/>
              <w:left w:val="nil"/>
              <w:bottom w:val="single" w:sz="4" w:space="0" w:color="C2CACE"/>
              <w:right w:val="nil"/>
            </w:tcBorders>
            <w:noWrap/>
            <w:vAlign w:val="bottom"/>
            <w:hideMark/>
          </w:tcPr>
          <w:p w14:paraId="3E3338F8" w14:textId="77777777" w:rsidR="000E4203" w:rsidRPr="000E4203" w:rsidRDefault="000E4203">
            <w:pPr>
              <w:jc w:val="center"/>
              <w:rPr>
                <w:rFonts w:cstheme="minorHAnsi"/>
                <w:color w:val="000000"/>
              </w:rPr>
            </w:pPr>
            <w:r w:rsidRPr="000E4203">
              <w:rPr>
                <w:rFonts w:cstheme="minorHAnsi"/>
                <w:color w:val="000000"/>
              </w:rPr>
              <w:t>TSFI0610</w:t>
            </w:r>
          </w:p>
        </w:tc>
        <w:tc>
          <w:tcPr>
            <w:tcW w:w="4819" w:type="dxa"/>
            <w:tcBorders>
              <w:top w:val="single" w:sz="4" w:space="0" w:color="C2CACE"/>
              <w:left w:val="nil"/>
              <w:bottom w:val="single" w:sz="4" w:space="0" w:color="C2CACE"/>
              <w:right w:val="nil"/>
            </w:tcBorders>
            <w:noWrap/>
            <w:vAlign w:val="bottom"/>
            <w:hideMark/>
          </w:tcPr>
          <w:p w14:paraId="4E1D53D7" w14:textId="77777777" w:rsidR="000E4203" w:rsidRPr="000E4203" w:rsidRDefault="000E4203">
            <w:pPr>
              <w:jc w:val="center"/>
              <w:rPr>
                <w:rFonts w:cstheme="minorHAnsi"/>
                <w:color w:val="000000"/>
              </w:rPr>
            </w:pPr>
            <w:r w:rsidRPr="000E4203">
              <w:rPr>
                <w:rFonts w:cstheme="minorHAnsi"/>
                <w:color w:val="000000"/>
              </w:rPr>
              <w:t>6-Month Term SOFR +10bps Daily Return Index</w:t>
            </w:r>
          </w:p>
        </w:tc>
      </w:tr>
      <w:tr w:rsidR="000E4203" w:rsidRPr="000E4203" w14:paraId="47CEA9F8" w14:textId="77777777" w:rsidTr="000E4203">
        <w:trPr>
          <w:trHeight w:val="300"/>
          <w:jc w:val="center"/>
        </w:trPr>
        <w:tc>
          <w:tcPr>
            <w:tcW w:w="1701" w:type="dxa"/>
            <w:tcBorders>
              <w:top w:val="single" w:sz="4" w:space="0" w:color="C2CACE"/>
              <w:left w:val="nil"/>
              <w:bottom w:val="single" w:sz="4" w:space="0" w:color="C2CACE"/>
              <w:right w:val="nil"/>
            </w:tcBorders>
            <w:noWrap/>
            <w:vAlign w:val="bottom"/>
            <w:hideMark/>
          </w:tcPr>
          <w:p w14:paraId="145D8256" w14:textId="77777777" w:rsidR="000E4203" w:rsidRPr="000E4203" w:rsidRDefault="000E4203">
            <w:pPr>
              <w:jc w:val="center"/>
              <w:rPr>
                <w:rFonts w:cstheme="minorHAnsi"/>
                <w:color w:val="000000"/>
              </w:rPr>
            </w:pPr>
            <w:r w:rsidRPr="000E4203">
              <w:rPr>
                <w:rFonts w:cstheme="minorHAnsi"/>
                <w:color w:val="000000"/>
              </w:rPr>
              <w:t>TSFI1210</w:t>
            </w:r>
          </w:p>
        </w:tc>
        <w:tc>
          <w:tcPr>
            <w:tcW w:w="4819" w:type="dxa"/>
            <w:tcBorders>
              <w:top w:val="single" w:sz="4" w:space="0" w:color="C2CACE"/>
              <w:left w:val="nil"/>
              <w:bottom w:val="single" w:sz="4" w:space="0" w:color="C2CACE"/>
              <w:right w:val="nil"/>
            </w:tcBorders>
            <w:noWrap/>
            <w:vAlign w:val="bottom"/>
            <w:hideMark/>
          </w:tcPr>
          <w:p w14:paraId="625DE95E" w14:textId="77777777" w:rsidR="000E4203" w:rsidRPr="000E4203" w:rsidRDefault="000E4203">
            <w:pPr>
              <w:jc w:val="center"/>
              <w:rPr>
                <w:rFonts w:cstheme="minorHAnsi"/>
                <w:color w:val="000000"/>
              </w:rPr>
            </w:pPr>
            <w:r w:rsidRPr="000E4203">
              <w:rPr>
                <w:rFonts w:cstheme="minorHAnsi"/>
                <w:color w:val="000000"/>
              </w:rPr>
              <w:t>12-Month Term SOFR +10bps Daily Return Index</w:t>
            </w:r>
          </w:p>
        </w:tc>
      </w:tr>
      <w:tr w:rsidR="000E4203" w:rsidRPr="000E4203" w14:paraId="659A8550" w14:textId="77777777" w:rsidTr="000E4203">
        <w:trPr>
          <w:trHeight w:val="300"/>
          <w:jc w:val="center"/>
        </w:trPr>
        <w:tc>
          <w:tcPr>
            <w:tcW w:w="1701" w:type="dxa"/>
            <w:tcBorders>
              <w:top w:val="single" w:sz="4" w:space="0" w:color="C2CACE"/>
              <w:left w:val="nil"/>
              <w:bottom w:val="single" w:sz="4" w:space="0" w:color="C2CACE"/>
              <w:right w:val="nil"/>
            </w:tcBorders>
            <w:noWrap/>
            <w:vAlign w:val="bottom"/>
            <w:hideMark/>
          </w:tcPr>
          <w:p w14:paraId="5E5B5B5F" w14:textId="77777777" w:rsidR="000E4203" w:rsidRPr="000E4203" w:rsidRDefault="000E4203">
            <w:pPr>
              <w:jc w:val="center"/>
              <w:rPr>
                <w:rFonts w:cstheme="minorHAnsi"/>
                <w:color w:val="000000"/>
              </w:rPr>
            </w:pPr>
            <w:r w:rsidRPr="000E4203">
              <w:rPr>
                <w:rFonts w:cstheme="minorHAnsi"/>
                <w:color w:val="000000"/>
              </w:rPr>
              <w:t>TSFI0115</w:t>
            </w:r>
          </w:p>
        </w:tc>
        <w:tc>
          <w:tcPr>
            <w:tcW w:w="4819" w:type="dxa"/>
            <w:tcBorders>
              <w:top w:val="single" w:sz="4" w:space="0" w:color="C2CACE"/>
              <w:left w:val="nil"/>
              <w:bottom w:val="single" w:sz="4" w:space="0" w:color="C2CACE"/>
              <w:right w:val="nil"/>
            </w:tcBorders>
            <w:noWrap/>
            <w:vAlign w:val="bottom"/>
            <w:hideMark/>
          </w:tcPr>
          <w:p w14:paraId="71CD21E7" w14:textId="77777777" w:rsidR="000E4203" w:rsidRPr="000E4203" w:rsidRDefault="000E4203">
            <w:pPr>
              <w:jc w:val="center"/>
              <w:rPr>
                <w:rFonts w:cstheme="minorHAnsi"/>
                <w:color w:val="000000"/>
              </w:rPr>
            </w:pPr>
            <w:r w:rsidRPr="000E4203">
              <w:rPr>
                <w:rFonts w:cstheme="minorHAnsi"/>
                <w:color w:val="000000"/>
              </w:rPr>
              <w:t>1-Month Term SOFR +15bps Daily Return Index</w:t>
            </w:r>
          </w:p>
        </w:tc>
      </w:tr>
      <w:tr w:rsidR="000E4203" w:rsidRPr="000E4203" w14:paraId="2A30505A" w14:textId="77777777" w:rsidTr="000E4203">
        <w:trPr>
          <w:trHeight w:val="300"/>
          <w:jc w:val="center"/>
        </w:trPr>
        <w:tc>
          <w:tcPr>
            <w:tcW w:w="1701" w:type="dxa"/>
            <w:tcBorders>
              <w:top w:val="single" w:sz="4" w:space="0" w:color="C2CACE"/>
              <w:left w:val="nil"/>
              <w:bottom w:val="single" w:sz="4" w:space="0" w:color="C2CACE"/>
              <w:right w:val="nil"/>
            </w:tcBorders>
            <w:noWrap/>
            <w:vAlign w:val="bottom"/>
            <w:hideMark/>
          </w:tcPr>
          <w:p w14:paraId="73F94B91" w14:textId="77777777" w:rsidR="000E4203" w:rsidRPr="000E4203" w:rsidRDefault="000E4203">
            <w:pPr>
              <w:jc w:val="center"/>
              <w:rPr>
                <w:rFonts w:cstheme="minorHAnsi"/>
                <w:color w:val="000000"/>
              </w:rPr>
            </w:pPr>
            <w:r w:rsidRPr="000E4203">
              <w:rPr>
                <w:rFonts w:cstheme="minorHAnsi"/>
                <w:color w:val="000000"/>
              </w:rPr>
              <w:t>TSFI0315</w:t>
            </w:r>
          </w:p>
        </w:tc>
        <w:tc>
          <w:tcPr>
            <w:tcW w:w="4819" w:type="dxa"/>
            <w:tcBorders>
              <w:top w:val="single" w:sz="4" w:space="0" w:color="C2CACE"/>
              <w:left w:val="nil"/>
              <w:bottom w:val="single" w:sz="4" w:space="0" w:color="C2CACE"/>
              <w:right w:val="nil"/>
            </w:tcBorders>
            <w:noWrap/>
            <w:vAlign w:val="bottom"/>
            <w:hideMark/>
          </w:tcPr>
          <w:p w14:paraId="3DD4DD08" w14:textId="77777777" w:rsidR="000E4203" w:rsidRPr="000E4203" w:rsidRDefault="000E4203">
            <w:pPr>
              <w:jc w:val="center"/>
              <w:rPr>
                <w:rFonts w:cstheme="minorHAnsi"/>
                <w:color w:val="000000"/>
              </w:rPr>
            </w:pPr>
            <w:r w:rsidRPr="000E4203">
              <w:rPr>
                <w:rFonts w:cstheme="minorHAnsi"/>
                <w:color w:val="000000"/>
              </w:rPr>
              <w:t>3-Month Term SOFR +15bps Daily Return Index</w:t>
            </w:r>
          </w:p>
        </w:tc>
      </w:tr>
      <w:tr w:rsidR="000E4203" w:rsidRPr="000E4203" w14:paraId="1F1291BC" w14:textId="77777777" w:rsidTr="000E4203">
        <w:trPr>
          <w:trHeight w:val="300"/>
          <w:jc w:val="center"/>
        </w:trPr>
        <w:tc>
          <w:tcPr>
            <w:tcW w:w="1701" w:type="dxa"/>
            <w:tcBorders>
              <w:top w:val="single" w:sz="4" w:space="0" w:color="C2CACE"/>
              <w:left w:val="nil"/>
              <w:bottom w:val="single" w:sz="4" w:space="0" w:color="C2CACE"/>
              <w:right w:val="nil"/>
            </w:tcBorders>
            <w:noWrap/>
            <w:vAlign w:val="bottom"/>
            <w:hideMark/>
          </w:tcPr>
          <w:p w14:paraId="1A875B5F" w14:textId="77777777" w:rsidR="000E4203" w:rsidRPr="000E4203" w:rsidRDefault="000E4203">
            <w:pPr>
              <w:jc w:val="center"/>
              <w:rPr>
                <w:rFonts w:cstheme="minorHAnsi"/>
                <w:color w:val="000000"/>
              </w:rPr>
            </w:pPr>
            <w:r w:rsidRPr="000E4203">
              <w:rPr>
                <w:rFonts w:cstheme="minorHAnsi"/>
                <w:color w:val="000000"/>
              </w:rPr>
              <w:t>TSFI0615</w:t>
            </w:r>
          </w:p>
        </w:tc>
        <w:tc>
          <w:tcPr>
            <w:tcW w:w="4819" w:type="dxa"/>
            <w:tcBorders>
              <w:top w:val="single" w:sz="4" w:space="0" w:color="C2CACE"/>
              <w:left w:val="nil"/>
              <w:bottom w:val="single" w:sz="4" w:space="0" w:color="C2CACE"/>
              <w:right w:val="nil"/>
            </w:tcBorders>
            <w:noWrap/>
            <w:vAlign w:val="bottom"/>
            <w:hideMark/>
          </w:tcPr>
          <w:p w14:paraId="55C91AB6" w14:textId="77777777" w:rsidR="000E4203" w:rsidRPr="000E4203" w:rsidRDefault="000E4203">
            <w:pPr>
              <w:jc w:val="center"/>
              <w:rPr>
                <w:rFonts w:cstheme="minorHAnsi"/>
                <w:color w:val="000000"/>
              </w:rPr>
            </w:pPr>
            <w:r w:rsidRPr="000E4203">
              <w:rPr>
                <w:rFonts w:cstheme="minorHAnsi"/>
                <w:color w:val="000000"/>
              </w:rPr>
              <w:t>6-Month Term SOFR +15bps Daily Return Index</w:t>
            </w:r>
          </w:p>
        </w:tc>
      </w:tr>
      <w:tr w:rsidR="000E4203" w:rsidRPr="000E4203" w14:paraId="329B8CC7" w14:textId="77777777" w:rsidTr="000E4203">
        <w:trPr>
          <w:trHeight w:val="300"/>
          <w:jc w:val="center"/>
        </w:trPr>
        <w:tc>
          <w:tcPr>
            <w:tcW w:w="1701" w:type="dxa"/>
            <w:tcBorders>
              <w:top w:val="single" w:sz="4" w:space="0" w:color="C2CACE"/>
              <w:left w:val="nil"/>
              <w:bottom w:val="single" w:sz="4" w:space="0" w:color="C2CACE"/>
              <w:right w:val="nil"/>
            </w:tcBorders>
            <w:noWrap/>
            <w:vAlign w:val="bottom"/>
            <w:hideMark/>
          </w:tcPr>
          <w:p w14:paraId="266D9611" w14:textId="77777777" w:rsidR="000E4203" w:rsidRPr="000E4203" w:rsidRDefault="000E4203">
            <w:pPr>
              <w:jc w:val="center"/>
              <w:rPr>
                <w:rFonts w:cstheme="minorHAnsi"/>
                <w:color w:val="000000"/>
              </w:rPr>
            </w:pPr>
            <w:r w:rsidRPr="000E4203">
              <w:rPr>
                <w:rFonts w:cstheme="minorHAnsi"/>
                <w:color w:val="000000"/>
              </w:rPr>
              <w:t>TSFI1215</w:t>
            </w:r>
          </w:p>
        </w:tc>
        <w:tc>
          <w:tcPr>
            <w:tcW w:w="4819" w:type="dxa"/>
            <w:tcBorders>
              <w:top w:val="single" w:sz="4" w:space="0" w:color="C2CACE"/>
              <w:left w:val="nil"/>
              <w:bottom w:val="single" w:sz="4" w:space="0" w:color="C2CACE"/>
              <w:right w:val="nil"/>
            </w:tcBorders>
            <w:noWrap/>
            <w:vAlign w:val="bottom"/>
            <w:hideMark/>
          </w:tcPr>
          <w:p w14:paraId="5522C990" w14:textId="77777777" w:rsidR="000E4203" w:rsidRPr="000E4203" w:rsidRDefault="000E4203">
            <w:pPr>
              <w:jc w:val="center"/>
              <w:rPr>
                <w:rFonts w:cstheme="minorHAnsi"/>
                <w:color w:val="000000"/>
              </w:rPr>
            </w:pPr>
            <w:r w:rsidRPr="000E4203">
              <w:rPr>
                <w:rFonts w:cstheme="minorHAnsi"/>
                <w:color w:val="000000"/>
              </w:rPr>
              <w:t>12-Month Term SOFR +15bps Daily Return Index</w:t>
            </w:r>
          </w:p>
        </w:tc>
      </w:tr>
      <w:tr w:rsidR="000E4203" w:rsidRPr="000E4203" w14:paraId="6A4518B5" w14:textId="77777777" w:rsidTr="000E4203">
        <w:trPr>
          <w:trHeight w:val="300"/>
          <w:jc w:val="center"/>
        </w:trPr>
        <w:tc>
          <w:tcPr>
            <w:tcW w:w="1701" w:type="dxa"/>
            <w:tcBorders>
              <w:top w:val="single" w:sz="4" w:space="0" w:color="C2CACE"/>
              <w:left w:val="nil"/>
              <w:bottom w:val="single" w:sz="4" w:space="0" w:color="C2CACE"/>
              <w:right w:val="nil"/>
            </w:tcBorders>
            <w:noWrap/>
            <w:vAlign w:val="bottom"/>
            <w:hideMark/>
          </w:tcPr>
          <w:p w14:paraId="1474849D" w14:textId="77777777" w:rsidR="000E4203" w:rsidRPr="000E4203" w:rsidRDefault="000E4203">
            <w:pPr>
              <w:jc w:val="center"/>
              <w:rPr>
                <w:rFonts w:cstheme="minorHAnsi"/>
                <w:color w:val="000000"/>
              </w:rPr>
            </w:pPr>
            <w:r w:rsidRPr="000E4203">
              <w:rPr>
                <w:rFonts w:cstheme="minorHAnsi"/>
                <w:color w:val="000000"/>
              </w:rPr>
              <w:t>TSFI0118</w:t>
            </w:r>
          </w:p>
        </w:tc>
        <w:tc>
          <w:tcPr>
            <w:tcW w:w="4819" w:type="dxa"/>
            <w:tcBorders>
              <w:top w:val="single" w:sz="4" w:space="0" w:color="C2CACE"/>
              <w:left w:val="nil"/>
              <w:bottom w:val="single" w:sz="4" w:space="0" w:color="C2CACE"/>
              <w:right w:val="nil"/>
            </w:tcBorders>
            <w:noWrap/>
            <w:vAlign w:val="bottom"/>
            <w:hideMark/>
          </w:tcPr>
          <w:p w14:paraId="5510381A" w14:textId="77777777" w:rsidR="000E4203" w:rsidRPr="000E4203" w:rsidRDefault="000E4203">
            <w:pPr>
              <w:jc w:val="center"/>
              <w:rPr>
                <w:rFonts w:cstheme="minorHAnsi"/>
                <w:color w:val="000000"/>
              </w:rPr>
            </w:pPr>
            <w:r w:rsidRPr="000E4203">
              <w:rPr>
                <w:rFonts w:cstheme="minorHAnsi"/>
                <w:color w:val="000000"/>
              </w:rPr>
              <w:t>1-Month Term SOFR +18bps Daily Return Index</w:t>
            </w:r>
          </w:p>
        </w:tc>
      </w:tr>
      <w:tr w:rsidR="000E4203" w:rsidRPr="000E4203" w14:paraId="3F8CABE1" w14:textId="77777777" w:rsidTr="000E4203">
        <w:trPr>
          <w:trHeight w:val="300"/>
          <w:jc w:val="center"/>
        </w:trPr>
        <w:tc>
          <w:tcPr>
            <w:tcW w:w="1701" w:type="dxa"/>
            <w:tcBorders>
              <w:top w:val="single" w:sz="4" w:space="0" w:color="C2CACE"/>
              <w:left w:val="nil"/>
              <w:bottom w:val="single" w:sz="4" w:space="0" w:color="C2CACE"/>
              <w:right w:val="nil"/>
            </w:tcBorders>
            <w:noWrap/>
            <w:vAlign w:val="bottom"/>
            <w:hideMark/>
          </w:tcPr>
          <w:p w14:paraId="77D1BABB" w14:textId="77777777" w:rsidR="000E4203" w:rsidRPr="000E4203" w:rsidRDefault="000E4203">
            <w:pPr>
              <w:jc w:val="center"/>
              <w:rPr>
                <w:rFonts w:cstheme="minorHAnsi"/>
                <w:color w:val="000000"/>
              </w:rPr>
            </w:pPr>
            <w:r w:rsidRPr="000E4203">
              <w:rPr>
                <w:rFonts w:cstheme="minorHAnsi"/>
                <w:color w:val="000000"/>
              </w:rPr>
              <w:t>TSFI0318</w:t>
            </w:r>
          </w:p>
        </w:tc>
        <w:tc>
          <w:tcPr>
            <w:tcW w:w="4819" w:type="dxa"/>
            <w:tcBorders>
              <w:top w:val="single" w:sz="4" w:space="0" w:color="C2CACE"/>
              <w:left w:val="nil"/>
              <w:bottom w:val="single" w:sz="4" w:space="0" w:color="C2CACE"/>
              <w:right w:val="nil"/>
            </w:tcBorders>
            <w:noWrap/>
            <w:vAlign w:val="bottom"/>
            <w:hideMark/>
          </w:tcPr>
          <w:p w14:paraId="43F5961D" w14:textId="77777777" w:rsidR="000E4203" w:rsidRPr="000E4203" w:rsidRDefault="000E4203">
            <w:pPr>
              <w:jc w:val="center"/>
              <w:rPr>
                <w:rFonts w:cstheme="minorHAnsi"/>
                <w:color w:val="000000"/>
              </w:rPr>
            </w:pPr>
            <w:r w:rsidRPr="000E4203">
              <w:rPr>
                <w:rFonts w:cstheme="minorHAnsi"/>
                <w:color w:val="000000"/>
              </w:rPr>
              <w:t>3-Month Term SOFR +18bps Daily Return Index</w:t>
            </w:r>
          </w:p>
        </w:tc>
      </w:tr>
      <w:tr w:rsidR="000E4203" w:rsidRPr="000E4203" w14:paraId="16F4E150" w14:textId="77777777" w:rsidTr="000E4203">
        <w:trPr>
          <w:trHeight w:val="300"/>
          <w:jc w:val="center"/>
        </w:trPr>
        <w:tc>
          <w:tcPr>
            <w:tcW w:w="1701" w:type="dxa"/>
            <w:tcBorders>
              <w:top w:val="single" w:sz="4" w:space="0" w:color="C2CACE"/>
              <w:left w:val="nil"/>
              <w:bottom w:val="single" w:sz="4" w:space="0" w:color="C2CACE"/>
              <w:right w:val="nil"/>
            </w:tcBorders>
            <w:noWrap/>
            <w:vAlign w:val="bottom"/>
            <w:hideMark/>
          </w:tcPr>
          <w:p w14:paraId="12AAAC4F" w14:textId="77777777" w:rsidR="000E4203" w:rsidRPr="000E4203" w:rsidRDefault="000E4203">
            <w:pPr>
              <w:jc w:val="center"/>
              <w:rPr>
                <w:rFonts w:cstheme="minorHAnsi"/>
                <w:color w:val="000000"/>
              </w:rPr>
            </w:pPr>
            <w:r w:rsidRPr="000E4203">
              <w:rPr>
                <w:rFonts w:cstheme="minorHAnsi"/>
                <w:color w:val="000000"/>
              </w:rPr>
              <w:t>TSFI0618</w:t>
            </w:r>
          </w:p>
        </w:tc>
        <w:tc>
          <w:tcPr>
            <w:tcW w:w="4819" w:type="dxa"/>
            <w:tcBorders>
              <w:top w:val="single" w:sz="4" w:space="0" w:color="C2CACE"/>
              <w:left w:val="nil"/>
              <w:bottom w:val="single" w:sz="4" w:space="0" w:color="C2CACE"/>
              <w:right w:val="nil"/>
            </w:tcBorders>
            <w:noWrap/>
            <w:vAlign w:val="bottom"/>
            <w:hideMark/>
          </w:tcPr>
          <w:p w14:paraId="38A116CF" w14:textId="77777777" w:rsidR="000E4203" w:rsidRPr="000E4203" w:rsidRDefault="000E4203">
            <w:pPr>
              <w:jc w:val="center"/>
              <w:rPr>
                <w:rFonts w:cstheme="minorHAnsi"/>
                <w:color w:val="000000"/>
              </w:rPr>
            </w:pPr>
            <w:r w:rsidRPr="000E4203">
              <w:rPr>
                <w:rFonts w:cstheme="minorHAnsi"/>
                <w:color w:val="000000"/>
              </w:rPr>
              <w:t>6-Month Term SOFR +18bps Daily Return Index</w:t>
            </w:r>
          </w:p>
        </w:tc>
      </w:tr>
      <w:tr w:rsidR="000E4203" w:rsidRPr="000E4203" w14:paraId="78E1385A" w14:textId="77777777" w:rsidTr="000E4203">
        <w:trPr>
          <w:trHeight w:val="300"/>
          <w:jc w:val="center"/>
        </w:trPr>
        <w:tc>
          <w:tcPr>
            <w:tcW w:w="1701" w:type="dxa"/>
            <w:tcBorders>
              <w:top w:val="single" w:sz="4" w:space="0" w:color="C2CACE"/>
              <w:left w:val="nil"/>
              <w:bottom w:val="single" w:sz="4" w:space="0" w:color="C2CACE"/>
              <w:right w:val="nil"/>
            </w:tcBorders>
            <w:noWrap/>
            <w:vAlign w:val="bottom"/>
            <w:hideMark/>
          </w:tcPr>
          <w:p w14:paraId="4B7472EF" w14:textId="77777777" w:rsidR="000E4203" w:rsidRPr="000E4203" w:rsidRDefault="000E4203">
            <w:pPr>
              <w:jc w:val="center"/>
              <w:rPr>
                <w:rFonts w:cstheme="minorHAnsi"/>
                <w:color w:val="000000"/>
              </w:rPr>
            </w:pPr>
            <w:r w:rsidRPr="000E4203">
              <w:rPr>
                <w:rFonts w:cstheme="minorHAnsi"/>
                <w:color w:val="000000"/>
              </w:rPr>
              <w:t>TSFI1218</w:t>
            </w:r>
          </w:p>
        </w:tc>
        <w:tc>
          <w:tcPr>
            <w:tcW w:w="4819" w:type="dxa"/>
            <w:tcBorders>
              <w:top w:val="single" w:sz="4" w:space="0" w:color="C2CACE"/>
              <w:left w:val="nil"/>
              <w:bottom w:val="single" w:sz="4" w:space="0" w:color="C2CACE"/>
              <w:right w:val="nil"/>
            </w:tcBorders>
            <w:noWrap/>
            <w:vAlign w:val="bottom"/>
            <w:hideMark/>
          </w:tcPr>
          <w:p w14:paraId="4D6A0F7E" w14:textId="77777777" w:rsidR="000E4203" w:rsidRPr="000E4203" w:rsidRDefault="000E4203">
            <w:pPr>
              <w:jc w:val="center"/>
              <w:rPr>
                <w:rFonts w:cstheme="minorHAnsi"/>
                <w:color w:val="000000"/>
              </w:rPr>
            </w:pPr>
            <w:r w:rsidRPr="000E4203">
              <w:rPr>
                <w:rFonts w:cstheme="minorHAnsi"/>
                <w:color w:val="000000"/>
              </w:rPr>
              <w:t>12-Month Term SOFR +18bps Daily Return Index</w:t>
            </w:r>
          </w:p>
        </w:tc>
      </w:tr>
    </w:tbl>
    <w:p w14:paraId="2AA539FB" w14:textId="417B082A" w:rsidR="000E4203" w:rsidRDefault="000E4203" w:rsidP="00893C33">
      <w:pPr>
        <w:pStyle w:val="BodyText"/>
      </w:pPr>
    </w:p>
    <w:p w14:paraId="27F516FD" w14:textId="77777777" w:rsidR="000E4203" w:rsidRDefault="000E4203">
      <w:pPr>
        <w:spacing w:after="160" w:line="259" w:lineRule="auto"/>
        <w:rPr>
          <w:rFonts w:ascii="Arial" w:hAnsi="Arial" w:cs="Arial"/>
          <w:color w:val="25323C"/>
          <w:szCs w:val="20"/>
        </w:rPr>
      </w:pPr>
      <w:r>
        <w:br w:type="page"/>
      </w:r>
    </w:p>
    <w:tbl>
      <w:tblPr>
        <w:tblStyle w:val="CMETable"/>
        <w:tblW w:w="6520" w:type="dxa"/>
        <w:jc w:val="center"/>
        <w:tblLook w:val="04A0" w:firstRow="1" w:lastRow="0" w:firstColumn="1" w:lastColumn="0" w:noHBand="0" w:noVBand="1"/>
      </w:tblPr>
      <w:tblGrid>
        <w:gridCol w:w="1701"/>
        <w:gridCol w:w="4819"/>
      </w:tblGrid>
      <w:tr w:rsidR="000E4203" w:rsidRPr="000E4203" w14:paraId="5357769F" w14:textId="77777777" w:rsidTr="000E4203">
        <w:trPr>
          <w:cnfStyle w:val="100000000000" w:firstRow="1" w:lastRow="0" w:firstColumn="0" w:lastColumn="0" w:oddVBand="0" w:evenVBand="0" w:oddHBand="0" w:evenHBand="0" w:firstRowFirstColumn="0" w:firstRowLastColumn="0" w:lastRowFirstColumn="0" w:lastRowLastColumn="0"/>
          <w:trHeight w:val="300"/>
          <w:jc w:val="center"/>
        </w:trPr>
        <w:tc>
          <w:tcPr>
            <w:tcW w:w="1701" w:type="dxa"/>
            <w:tcBorders>
              <w:top w:val="single" w:sz="4" w:space="0" w:color="C2CACE"/>
              <w:left w:val="nil"/>
              <w:bottom w:val="single" w:sz="4" w:space="0" w:color="C2CACE"/>
              <w:right w:val="nil"/>
            </w:tcBorders>
            <w:noWrap/>
            <w:hideMark/>
          </w:tcPr>
          <w:p w14:paraId="16EC339F" w14:textId="77777777" w:rsidR="000E4203" w:rsidRPr="000E4203" w:rsidRDefault="000E4203">
            <w:pPr>
              <w:jc w:val="center"/>
              <w:rPr>
                <w:rFonts w:cstheme="minorHAnsi"/>
                <w:color w:val="000000"/>
              </w:rPr>
            </w:pPr>
            <w:r w:rsidRPr="000E4203">
              <w:rPr>
                <w:rFonts w:cstheme="minorHAnsi"/>
                <w:b/>
                <w:bCs/>
                <w:color w:val="FFFFFF" w:themeColor="background2"/>
              </w:rPr>
              <w:lastRenderedPageBreak/>
              <w:t>Index Ticker</w:t>
            </w:r>
          </w:p>
        </w:tc>
        <w:tc>
          <w:tcPr>
            <w:tcW w:w="4819" w:type="dxa"/>
            <w:tcBorders>
              <w:top w:val="single" w:sz="4" w:space="0" w:color="C2CACE"/>
              <w:left w:val="nil"/>
              <w:bottom w:val="single" w:sz="4" w:space="0" w:color="C2CACE"/>
              <w:right w:val="nil"/>
            </w:tcBorders>
            <w:noWrap/>
            <w:hideMark/>
          </w:tcPr>
          <w:p w14:paraId="7E851A86" w14:textId="77777777" w:rsidR="000E4203" w:rsidRPr="000E4203" w:rsidRDefault="000E4203">
            <w:pPr>
              <w:jc w:val="center"/>
              <w:rPr>
                <w:rFonts w:cstheme="minorHAnsi"/>
                <w:color w:val="000000"/>
              </w:rPr>
            </w:pPr>
            <w:r w:rsidRPr="000E4203">
              <w:rPr>
                <w:rFonts w:cstheme="minorHAnsi"/>
                <w:b/>
                <w:bCs/>
                <w:color w:val="FFFFFF" w:themeColor="background2"/>
              </w:rPr>
              <w:t>Index Name</w:t>
            </w:r>
          </w:p>
        </w:tc>
      </w:tr>
      <w:tr w:rsidR="000E4203" w:rsidRPr="000E4203" w14:paraId="2D6645CC" w14:textId="77777777" w:rsidTr="000E4203">
        <w:trPr>
          <w:trHeight w:val="300"/>
          <w:jc w:val="center"/>
        </w:trPr>
        <w:tc>
          <w:tcPr>
            <w:tcW w:w="1701" w:type="dxa"/>
            <w:tcBorders>
              <w:top w:val="single" w:sz="4" w:space="0" w:color="C2CACE"/>
              <w:left w:val="nil"/>
              <w:bottom w:val="single" w:sz="4" w:space="0" w:color="C2CACE"/>
              <w:right w:val="nil"/>
            </w:tcBorders>
            <w:noWrap/>
            <w:vAlign w:val="bottom"/>
            <w:hideMark/>
          </w:tcPr>
          <w:p w14:paraId="5D6E99FC" w14:textId="77777777" w:rsidR="000E4203" w:rsidRPr="000E4203" w:rsidRDefault="000E4203">
            <w:pPr>
              <w:jc w:val="center"/>
              <w:rPr>
                <w:rFonts w:cstheme="minorHAnsi"/>
                <w:color w:val="000000"/>
              </w:rPr>
            </w:pPr>
            <w:r w:rsidRPr="000E4203">
              <w:rPr>
                <w:rFonts w:cstheme="minorHAnsi"/>
                <w:color w:val="000000"/>
              </w:rPr>
              <w:t>TSFI0120</w:t>
            </w:r>
          </w:p>
        </w:tc>
        <w:tc>
          <w:tcPr>
            <w:tcW w:w="4819" w:type="dxa"/>
            <w:tcBorders>
              <w:top w:val="single" w:sz="4" w:space="0" w:color="C2CACE"/>
              <w:left w:val="nil"/>
              <w:bottom w:val="single" w:sz="4" w:space="0" w:color="C2CACE"/>
              <w:right w:val="nil"/>
            </w:tcBorders>
            <w:noWrap/>
            <w:vAlign w:val="bottom"/>
            <w:hideMark/>
          </w:tcPr>
          <w:p w14:paraId="77164BC9" w14:textId="77777777" w:rsidR="000E4203" w:rsidRPr="000E4203" w:rsidRDefault="000E4203">
            <w:pPr>
              <w:jc w:val="center"/>
              <w:rPr>
                <w:rFonts w:cstheme="minorHAnsi"/>
                <w:color w:val="000000"/>
              </w:rPr>
            </w:pPr>
            <w:r w:rsidRPr="000E4203">
              <w:rPr>
                <w:rFonts w:cstheme="minorHAnsi"/>
                <w:color w:val="000000"/>
              </w:rPr>
              <w:t>1-Month Term SOFR +20bps Daily Return Index</w:t>
            </w:r>
          </w:p>
        </w:tc>
      </w:tr>
      <w:tr w:rsidR="000E4203" w:rsidRPr="000E4203" w14:paraId="42DCE281" w14:textId="77777777" w:rsidTr="000E4203">
        <w:trPr>
          <w:trHeight w:val="300"/>
          <w:jc w:val="center"/>
        </w:trPr>
        <w:tc>
          <w:tcPr>
            <w:tcW w:w="1701" w:type="dxa"/>
            <w:tcBorders>
              <w:top w:val="single" w:sz="4" w:space="0" w:color="C2CACE"/>
              <w:left w:val="nil"/>
              <w:bottom w:val="single" w:sz="4" w:space="0" w:color="C2CACE"/>
              <w:right w:val="nil"/>
            </w:tcBorders>
            <w:noWrap/>
            <w:vAlign w:val="bottom"/>
            <w:hideMark/>
          </w:tcPr>
          <w:p w14:paraId="47906C9D" w14:textId="77777777" w:rsidR="000E4203" w:rsidRPr="000E4203" w:rsidRDefault="000E4203">
            <w:pPr>
              <w:jc w:val="center"/>
              <w:rPr>
                <w:rFonts w:cstheme="minorHAnsi"/>
                <w:color w:val="000000"/>
              </w:rPr>
            </w:pPr>
            <w:r w:rsidRPr="000E4203">
              <w:rPr>
                <w:rFonts w:cstheme="minorHAnsi"/>
                <w:color w:val="000000"/>
              </w:rPr>
              <w:t>TSFI0320</w:t>
            </w:r>
          </w:p>
        </w:tc>
        <w:tc>
          <w:tcPr>
            <w:tcW w:w="4819" w:type="dxa"/>
            <w:tcBorders>
              <w:top w:val="single" w:sz="4" w:space="0" w:color="C2CACE"/>
              <w:left w:val="nil"/>
              <w:bottom w:val="single" w:sz="4" w:space="0" w:color="C2CACE"/>
              <w:right w:val="nil"/>
            </w:tcBorders>
            <w:noWrap/>
            <w:vAlign w:val="bottom"/>
            <w:hideMark/>
          </w:tcPr>
          <w:p w14:paraId="0AA3A425" w14:textId="77777777" w:rsidR="000E4203" w:rsidRPr="000E4203" w:rsidRDefault="000E4203">
            <w:pPr>
              <w:jc w:val="center"/>
              <w:rPr>
                <w:rFonts w:cstheme="minorHAnsi"/>
                <w:color w:val="000000"/>
              </w:rPr>
            </w:pPr>
            <w:r w:rsidRPr="000E4203">
              <w:rPr>
                <w:rFonts w:cstheme="minorHAnsi"/>
                <w:color w:val="000000"/>
              </w:rPr>
              <w:t>3-Month Term SOFR +20bps Daily Return Index</w:t>
            </w:r>
          </w:p>
        </w:tc>
      </w:tr>
      <w:tr w:rsidR="000E4203" w:rsidRPr="000E4203" w14:paraId="32F71C5E" w14:textId="77777777" w:rsidTr="000E4203">
        <w:trPr>
          <w:trHeight w:val="300"/>
          <w:jc w:val="center"/>
        </w:trPr>
        <w:tc>
          <w:tcPr>
            <w:tcW w:w="1701" w:type="dxa"/>
            <w:tcBorders>
              <w:top w:val="single" w:sz="4" w:space="0" w:color="C2CACE"/>
              <w:left w:val="nil"/>
              <w:bottom w:val="single" w:sz="4" w:space="0" w:color="C2CACE"/>
              <w:right w:val="nil"/>
            </w:tcBorders>
            <w:noWrap/>
            <w:vAlign w:val="bottom"/>
            <w:hideMark/>
          </w:tcPr>
          <w:p w14:paraId="2EEA3825" w14:textId="77777777" w:rsidR="000E4203" w:rsidRPr="000E4203" w:rsidRDefault="000E4203">
            <w:pPr>
              <w:jc w:val="center"/>
              <w:rPr>
                <w:rFonts w:cstheme="minorHAnsi"/>
                <w:color w:val="000000"/>
              </w:rPr>
            </w:pPr>
            <w:r w:rsidRPr="000E4203">
              <w:rPr>
                <w:rFonts w:cstheme="minorHAnsi"/>
                <w:color w:val="000000"/>
              </w:rPr>
              <w:t>TSFI0620</w:t>
            </w:r>
          </w:p>
        </w:tc>
        <w:tc>
          <w:tcPr>
            <w:tcW w:w="4819" w:type="dxa"/>
            <w:tcBorders>
              <w:top w:val="single" w:sz="4" w:space="0" w:color="C2CACE"/>
              <w:left w:val="nil"/>
              <w:bottom w:val="single" w:sz="4" w:space="0" w:color="C2CACE"/>
              <w:right w:val="nil"/>
            </w:tcBorders>
            <w:noWrap/>
            <w:vAlign w:val="bottom"/>
            <w:hideMark/>
          </w:tcPr>
          <w:p w14:paraId="6A78AFA4" w14:textId="77777777" w:rsidR="000E4203" w:rsidRPr="000E4203" w:rsidRDefault="000E4203">
            <w:pPr>
              <w:jc w:val="center"/>
              <w:rPr>
                <w:rFonts w:cstheme="minorHAnsi"/>
                <w:color w:val="000000"/>
              </w:rPr>
            </w:pPr>
            <w:r w:rsidRPr="000E4203">
              <w:rPr>
                <w:rFonts w:cstheme="minorHAnsi"/>
                <w:color w:val="000000"/>
              </w:rPr>
              <w:t>6-Month Term SOFR +20bps Daily Return Index</w:t>
            </w:r>
          </w:p>
        </w:tc>
      </w:tr>
      <w:tr w:rsidR="000E4203" w:rsidRPr="000E4203" w14:paraId="77B5B152" w14:textId="77777777" w:rsidTr="000E4203">
        <w:trPr>
          <w:trHeight w:val="300"/>
          <w:jc w:val="center"/>
        </w:trPr>
        <w:tc>
          <w:tcPr>
            <w:tcW w:w="1701" w:type="dxa"/>
            <w:tcBorders>
              <w:top w:val="single" w:sz="4" w:space="0" w:color="C2CACE"/>
              <w:left w:val="nil"/>
              <w:bottom w:val="single" w:sz="4" w:space="0" w:color="C2CACE"/>
              <w:right w:val="nil"/>
            </w:tcBorders>
            <w:noWrap/>
            <w:vAlign w:val="bottom"/>
            <w:hideMark/>
          </w:tcPr>
          <w:p w14:paraId="4D080A4E" w14:textId="77777777" w:rsidR="000E4203" w:rsidRPr="000E4203" w:rsidRDefault="000E4203">
            <w:pPr>
              <w:jc w:val="center"/>
              <w:rPr>
                <w:rFonts w:cstheme="minorHAnsi"/>
                <w:color w:val="000000"/>
              </w:rPr>
            </w:pPr>
            <w:r w:rsidRPr="000E4203">
              <w:rPr>
                <w:rFonts w:cstheme="minorHAnsi"/>
                <w:color w:val="000000"/>
              </w:rPr>
              <w:t>TSFI1220</w:t>
            </w:r>
          </w:p>
        </w:tc>
        <w:tc>
          <w:tcPr>
            <w:tcW w:w="4819" w:type="dxa"/>
            <w:tcBorders>
              <w:top w:val="single" w:sz="4" w:space="0" w:color="C2CACE"/>
              <w:left w:val="nil"/>
              <w:bottom w:val="single" w:sz="4" w:space="0" w:color="C2CACE"/>
              <w:right w:val="nil"/>
            </w:tcBorders>
            <w:noWrap/>
            <w:vAlign w:val="bottom"/>
            <w:hideMark/>
          </w:tcPr>
          <w:p w14:paraId="4880291A" w14:textId="77777777" w:rsidR="000E4203" w:rsidRPr="000E4203" w:rsidRDefault="000E4203">
            <w:pPr>
              <w:jc w:val="center"/>
              <w:rPr>
                <w:rFonts w:cstheme="minorHAnsi"/>
                <w:color w:val="000000"/>
              </w:rPr>
            </w:pPr>
            <w:r w:rsidRPr="000E4203">
              <w:rPr>
                <w:rFonts w:cstheme="minorHAnsi"/>
                <w:color w:val="000000"/>
              </w:rPr>
              <w:t>12-Month Term SOFR +20bps Daily Return Index</w:t>
            </w:r>
          </w:p>
        </w:tc>
      </w:tr>
      <w:tr w:rsidR="000E4203" w:rsidRPr="000E4203" w14:paraId="271BFC4F" w14:textId="77777777" w:rsidTr="000E4203">
        <w:trPr>
          <w:trHeight w:val="300"/>
          <w:jc w:val="center"/>
        </w:trPr>
        <w:tc>
          <w:tcPr>
            <w:tcW w:w="1701" w:type="dxa"/>
            <w:tcBorders>
              <w:top w:val="single" w:sz="4" w:space="0" w:color="C2CACE"/>
              <w:left w:val="nil"/>
              <w:bottom w:val="single" w:sz="4" w:space="0" w:color="C2CACE"/>
              <w:right w:val="nil"/>
            </w:tcBorders>
            <w:noWrap/>
            <w:vAlign w:val="bottom"/>
            <w:hideMark/>
          </w:tcPr>
          <w:p w14:paraId="10607FB1" w14:textId="77777777" w:rsidR="000E4203" w:rsidRPr="000E4203" w:rsidRDefault="000E4203">
            <w:pPr>
              <w:jc w:val="center"/>
              <w:rPr>
                <w:rFonts w:cstheme="minorHAnsi"/>
                <w:color w:val="000000"/>
              </w:rPr>
            </w:pPr>
            <w:r w:rsidRPr="000E4203">
              <w:rPr>
                <w:rFonts w:cstheme="minorHAnsi"/>
                <w:color w:val="000000"/>
              </w:rPr>
              <w:t>TSFI0150</w:t>
            </w:r>
          </w:p>
        </w:tc>
        <w:tc>
          <w:tcPr>
            <w:tcW w:w="4819" w:type="dxa"/>
            <w:tcBorders>
              <w:top w:val="single" w:sz="4" w:space="0" w:color="C2CACE"/>
              <w:left w:val="nil"/>
              <w:bottom w:val="single" w:sz="4" w:space="0" w:color="C2CACE"/>
              <w:right w:val="nil"/>
            </w:tcBorders>
            <w:noWrap/>
            <w:vAlign w:val="bottom"/>
            <w:hideMark/>
          </w:tcPr>
          <w:p w14:paraId="610F682A" w14:textId="77777777" w:rsidR="000E4203" w:rsidRPr="000E4203" w:rsidRDefault="000E4203">
            <w:pPr>
              <w:jc w:val="center"/>
              <w:rPr>
                <w:rFonts w:cstheme="minorHAnsi"/>
                <w:color w:val="000000"/>
              </w:rPr>
            </w:pPr>
            <w:r w:rsidRPr="000E4203">
              <w:rPr>
                <w:rFonts w:cstheme="minorHAnsi"/>
                <w:color w:val="000000"/>
              </w:rPr>
              <w:t>1-Month Term SOFR +50bps Daily Return Index</w:t>
            </w:r>
          </w:p>
        </w:tc>
      </w:tr>
      <w:tr w:rsidR="000E4203" w:rsidRPr="000E4203" w14:paraId="2012FE41" w14:textId="77777777" w:rsidTr="000E4203">
        <w:trPr>
          <w:trHeight w:val="300"/>
          <w:jc w:val="center"/>
        </w:trPr>
        <w:tc>
          <w:tcPr>
            <w:tcW w:w="1701" w:type="dxa"/>
            <w:tcBorders>
              <w:top w:val="single" w:sz="4" w:space="0" w:color="C2CACE"/>
              <w:left w:val="nil"/>
              <w:bottom w:val="single" w:sz="4" w:space="0" w:color="C2CACE"/>
              <w:right w:val="nil"/>
            </w:tcBorders>
            <w:noWrap/>
            <w:vAlign w:val="bottom"/>
            <w:hideMark/>
          </w:tcPr>
          <w:p w14:paraId="77AB2F7F" w14:textId="77777777" w:rsidR="000E4203" w:rsidRPr="000E4203" w:rsidRDefault="000E4203">
            <w:pPr>
              <w:jc w:val="center"/>
              <w:rPr>
                <w:rFonts w:cstheme="minorHAnsi"/>
                <w:color w:val="000000"/>
              </w:rPr>
            </w:pPr>
            <w:r w:rsidRPr="000E4203">
              <w:rPr>
                <w:rFonts w:cstheme="minorHAnsi"/>
                <w:color w:val="000000"/>
              </w:rPr>
              <w:t>TSFI0350</w:t>
            </w:r>
          </w:p>
        </w:tc>
        <w:tc>
          <w:tcPr>
            <w:tcW w:w="4819" w:type="dxa"/>
            <w:tcBorders>
              <w:top w:val="single" w:sz="4" w:space="0" w:color="C2CACE"/>
              <w:left w:val="nil"/>
              <w:bottom w:val="single" w:sz="4" w:space="0" w:color="C2CACE"/>
              <w:right w:val="nil"/>
            </w:tcBorders>
            <w:noWrap/>
            <w:vAlign w:val="bottom"/>
            <w:hideMark/>
          </w:tcPr>
          <w:p w14:paraId="7D4A224E" w14:textId="77777777" w:rsidR="000E4203" w:rsidRPr="000E4203" w:rsidRDefault="000E4203">
            <w:pPr>
              <w:jc w:val="center"/>
              <w:rPr>
                <w:rFonts w:cstheme="minorHAnsi"/>
                <w:color w:val="000000"/>
              </w:rPr>
            </w:pPr>
            <w:r w:rsidRPr="000E4203">
              <w:rPr>
                <w:rFonts w:cstheme="minorHAnsi"/>
                <w:color w:val="000000"/>
              </w:rPr>
              <w:t>3-Month Term SOFR +50bps Daily Return Index</w:t>
            </w:r>
          </w:p>
        </w:tc>
      </w:tr>
      <w:tr w:rsidR="000E4203" w:rsidRPr="000E4203" w14:paraId="4FE948EF" w14:textId="77777777" w:rsidTr="000E4203">
        <w:trPr>
          <w:trHeight w:val="300"/>
          <w:jc w:val="center"/>
        </w:trPr>
        <w:tc>
          <w:tcPr>
            <w:tcW w:w="1701" w:type="dxa"/>
            <w:tcBorders>
              <w:top w:val="single" w:sz="4" w:space="0" w:color="C2CACE"/>
              <w:left w:val="nil"/>
              <w:bottom w:val="single" w:sz="4" w:space="0" w:color="C2CACE"/>
              <w:right w:val="nil"/>
            </w:tcBorders>
            <w:noWrap/>
            <w:vAlign w:val="bottom"/>
            <w:hideMark/>
          </w:tcPr>
          <w:p w14:paraId="13B0B718" w14:textId="77777777" w:rsidR="000E4203" w:rsidRPr="000E4203" w:rsidRDefault="000E4203">
            <w:pPr>
              <w:jc w:val="center"/>
              <w:rPr>
                <w:rFonts w:cstheme="minorHAnsi"/>
                <w:color w:val="000000"/>
              </w:rPr>
            </w:pPr>
            <w:r w:rsidRPr="000E4203">
              <w:rPr>
                <w:rFonts w:cstheme="minorHAnsi"/>
                <w:color w:val="000000"/>
              </w:rPr>
              <w:t>TSFI0650</w:t>
            </w:r>
          </w:p>
        </w:tc>
        <w:tc>
          <w:tcPr>
            <w:tcW w:w="4819" w:type="dxa"/>
            <w:tcBorders>
              <w:top w:val="single" w:sz="4" w:space="0" w:color="C2CACE"/>
              <w:left w:val="nil"/>
              <w:bottom w:val="single" w:sz="4" w:space="0" w:color="C2CACE"/>
              <w:right w:val="nil"/>
            </w:tcBorders>
            <w:noWrap/>
            <w:vAlign w:val="bottom"/>
            <w:hideMark/>
          </w:tcPr>
          <w:p w14:paraId="7D6CBF06" w14:textId="77777777" w:rsidR="000E4203" w:rsidRPr="000E4203" w:rsidRDefault="000E4203">
            <w:pPr>
              <w:jc w:val="center"/>
              <w:rPr>
                <w:rFonts w:cstheme="minorHAnsi"/>
                <w:color w:val="000000"/>
              </w:rPr>
            </w:pPr>
            <w:r w:rsidRPr="000E4203">
              <w:rPr>
                <w:rFonts w:cstheme="minorHAnsi"/>
                <w:color w:val="000000"/>
              </w:rPr>
              <w:t>6-Month Term SOFR +50bps Daily Return Index</w:t>
            </w:r>
          </w:p>
        </w:tc>
      </w:tr>
      <w:tr w:rsidR="000E4203" w:rsidRPr="000E4203" w14:paraId="1552C331" w14:textId="77777777" w:rsidTr="000E4203">
        <w:trPr>
          <w:trHeight w:val="300"/>
          <w:jc w:val="center"/>
        </w:trPr>
        <w:tc>
          <w:tcPr>
            <w:tcW w:w="1701" w:type="dxa"/>
            <w:tcBorders>
              <w:top w:val="single" w:sz="4" w:space="0" w:color="C2CACE"/>
              <w:left w:val="nil"/>
              <w:bottom w:val="single" w:sz="4" w:space="0" w:color="C2CACE"/>
              <w:right w:val="nil"/>
            </w:tcBorders>
            <w:noWrap/>
            <w:vAlign w:val="bottom"/>
            <w:hideMark/>
          </w:tcPr>
          <w:p w14:paraId="439FC720" w14:textId="77777777" w:rsidR="000E4203" w:rsidRPr="000E4203" w:rsidRDefault="000E4203">
            <w:pPr>
              <w:jc w:val="center"/>
              <w:rPr>
                <w:rFonts w:cstheme="minorHAnsi"/>
                <w:color w:val="000000"/>
              </w:rPr>
            </w:pPr>
            <w:r w:rsidRPr="000E4203">
              <w:rPr>
                <w:rFonts w:cstheme="minorHAnsi"/>
                <w:color w:val="000000"/>
              </w:rPr>
              <w:t>TSFI1250</w:t>
            </w:r>
          </w:p>
        </w:tc>
        <w:tc>
          <w:tcPr>
            <w:tcW w:w="4819" w:type="dxa"/>
            <w:tcBorders>
              <w:top w:val="single" w:sz="4" w:space="0" w:color="C2CACE"/>
              <w:left w:val="nil"/>
              <w:bottom w:val="single" w:sz="4" w:space="0" w:color="C2CACE"/>
              <w:right w:val="nil"/>
            </w:tcBorders>
            <w:noWrap/>
            <w:vAlign w:val="bottom"/>
            <w:hideMark/>
          </w:tcPr>
          <w:p w14:paraId="63A6E958" w14:textId="77777777" w:rsidR="000E4203" w:rsidRPr="000E4203" w:rsidRDefault="000E4203">
            <w:pPr>
              <w:jc w:val="center"/>
              <w:rPr>
                <w:rFonts w:cstheme="minorHAnsi"/>
                <w:color w:val="000000"/>
              </w:rPr>
            </w:pPr>
            <w:r w:rsidRPr="000E4203">
              <w:rPr>
                <w:rFonts w:cstheme="minorHAnsi"/>
                <w:color w:val="000000"/>
              </w:rPr>
              <w:t>12-Month Term SOFR +50bps Daily Return Index</w:t>
            </w:r>
          </w:p>
        </w:tc>
      </w:tr>
      <w:tr w:rsidR="000E4203" w:rsidRPr="000E4203" w14:paraId="230E94CC" w14:textId="77777777" w:rsidTr="000E4203">
        <w:trPr>
          <w:trHeight w:val="300"/>
          <w:jc w:val="center"/>
        </w:trPr>
        <w:tc>
          <w:tcPr>
            <w:tcW w:w="1701" w:type="dxa"/>
            <w:tcBorders>
              <w:top w:val="single" w:sz="4" w:space="0" w:color="C2CACE"/>
              <w:left w:val="nil"/>
              <w:bottom w:val="single" w:sz="4" w:space="0" w:color="C2CACE"/>
              <w:right w:val="nil"/>
            </w:tcBorders>
            <w:noWrap/>
            <w:vAlign w:val="bottom"/>
            <w:hideMark/>
          </w:tcPr>
          <w:p w14:paraId="2316E9B2" w14:textId="77777777" w:rsidR="000E4203" w:rsidRPr="000E4203" w:rsidRDefault="000E4203">
            <w:pPr>
              <w:jc w:val="center"/>
              <w:rPr>
                <w:rFonts w:cstheme="minorHAnsi"/>
                <w:color w:val="000000"/>
              </w:rPr>
            </w:pPr>
            <w:r w:rsidRPr="000E4203">
              <w:rPr>
                <w:rFonts w:cstheme="minorHAnsi"/>
                <w:color w:val="000000"/>
              </w:rPr>
              <w:t>TSF10I01</w:t>
            </w:r>
          </w:p>
        </w:tc>
        <w:tc>
          <w:tcPr>
            <w:tcW w:w="4819" w:type="dxa"/>
            <w:tcBorders>
              <w:top w:val="single" w:sz="4" w:space="0" w:color="C2CACE"/>
              <w:left w:val="nil"/>
              <w:bottom w:val="single" w:sz="4" w:space="0" w:color="C2CACE"/>
              <w:right w:val="nil"/>
            </w:tcBorders>
            <w:noWrap/>
            <w:vAlign w:val="bottom"/>
            <w:hideMark/>
          </w:tcPr>
          <w:p w14:paraId="411022A9" w14:textId="77777777" w:rsidR="000E4203" w:rsidRPr="000E4203" w:rsidRDefault="000E4203">
            <w:pPr>
              <w:jc w:val="center"/>
              <w:rPr>
                <w:rFonts w:cstheme="minorHAnsi"/>
                <w:color w:val="000000"/>
              </w:rPr>
            </w:pPr>
            <w:r w:rsidRPr="000E4203">
              <w:rPr>
                <w:rFonts w:cstheme="minorHAnsi"/>
                <w:color w:val="000000"/>
              </w:rPr>
              <w:t>1-Month Term SOFR +100bps Daily Return Index</w:t>
            </w:r>
          </w:p>
        </w:tc>
      </w:tr>
      <w:tr w:rsidR="000E4203" w:rsidRPr="000E4203" w14:paraId="7A857478" w14:textId="77777777" w:rsidTr="000E4203">
        <w:trPr>
          <w:trHeight w:val="300"/>
          <w:jc w:val="center"/>
        </w:trPr>
        <w:tc>
          <w:tcPr>
            <w:tcW w:w="1701" w:type="dxa"/>
            <w:tcBorders>
              <w:top w:val="single" w:sz="4" w:space="0" w:color="C2CACE"/>
              <w:left w:val="nil"/>
              <w:bottom w:val="single" w:sz="4" w:space="0" w:color="C2CACE"/>
              <w:right w:val="nil"/>
            </w:tcBorders>
            <w:noWrap/>
            <w:vAlign w:val="bottom"/>
            <w:hideMark/>
          </w:tcPr>
          <w:p w14:paraId="016F2311" w14:textId="77777777" w:rsidR="000E4203" w:rsidRPr="000E4203" w:rsidRDefault="000E4203">
            <w:pPr>
              <w:jc w:val="center"/>
              <w:rPr>
                <w:rFonts w:cstheme="minorHAnsi"/>
                <w:color w:val="000000"/>
              </w:rPr>
            </w:pPr>
            <w:r w:rsidRPr="000E4203">
              <w:rPr>
                <w:rFonts w:cstheme="minorHAnsi"/>
                <w:color w:val="000000"/>
              </w:rPr>
              <w:t>TSF10I03</w:t>
            </w:r>
          </w:p>
        </w:tc>
        <w:tc>
          <w:tcPr>
            <w:tcW w:w="4819" w:type="dxa"/>
            <w:tcBorders>
              <w:top w:val="single" w:sz="4" w:space="0" w:color="C2CACE"/>
              <w:left w:val="nil"/>
              <w:bottom w:val="single" w:sz="4" w:space="0" w:color="C2CACE"/>
              <w:right w:val="nil"/>
            </w:tcBorders>
            <w:noWrap/>
            <w:vAlign w:val="bottom"/>
            <w:hideMark/>
          </w:tcPr>
          <w:p w14:paraId="1FA0E532" w14:textId="77777777" w:rsidR="000E4203" w:rsidRPr="000E4203" w:rsidRDefault="000E4203">
            <w:pPr>
              <w:jc w:val="center"/>
              <w:rPr>
                <w:rFonts w:cstheme="minorHAnsi"/>
                <w:color w:val="000000"/>
              </w:rPr>
            </w:pPr>
            <w:r w:rsidRPr="000E4203">
              <w:rPr>
                <w:rFonts w:cstheme="minorHAnsi"/>
                <w:color w:val="000000"/>
              </w:rPr>
              <w:t>3-Month Term SOFR +100bps Daily Return Index</w:t>
            </w:r>
          </w:p>
        </w:tc>
      </w:tr>
      <w:tr w:rsidR="000E4203" w:rsidRPr="000E4203" w14:paraId="1D30C74B" w14:textId="77777777" w:rsidTr="000E4203">
        <w:trPr>
          <w:trHeight w:val="300"/>
          <w:jc w:val="center"/>
        </w:trPr>
        <w:tc>
          <w:tcPr>
            <w:tcW w:w="1701" w:type="dxa"/>
            <w:tcBorders>
              <w:top w:val="single" w:sz="4" w:space="0" w:color="C2CACE"/>
              <w:left w:val="nil"/>
              <w:bottom w:val="single" w:sz="4" w:space="0" w:color="C2CACE"/>
              <w:right w:val="nil"/>
            </w:tcBorders>
            <w:noWrap/>
            <w:vAlign w:val="bottom"/>
            <w:hideMark/>
          </w:tcPr>
          <w:p w14:paraId="6CD22BF8" w14:textId="77777777" w:rsidR="000E4203" w:rsidRPr="000E4203" w:rsidRDefault="000E4203">
            <w:pPr>
              <w:jc w:val="center"/>
              <w:rPr>
                <w:rFonts w:cstheme="minorHAnsi"/>
                <w:color w:val="000000"/>
              </w:rPr>
            </w:pPr>
            <w:r w:rsidRPr="000E4203">
              <w:rPr>
                <w:rFonts w:cstheme="minorHAnsi"/>
                <w:color w:val="000000"/>
              </w:rPr>
              <w:t>TSF10I06</w:t>
            </w:r>
          </w:p>
        </w:tc>
        <w:tc>
          <w:tcPr>
            <w:tcW w:w="4819" w:type="dxa"/>
            <w:tcBorders>
              <w:top w:val="single" w:sz="4" w:space="0" w:color="C2CACE"/>
              <w:left w:val="nil"/>
              <w:bottom w:val="single" w:sz="4" w:space="0" w:color="C2CACE"/>
              <w:right w:val="nil"/>
            </w:tcBorders>
            <w:noWrap/>
            <w:vAlign w:val="bottom"/>
            <w:hideMark/>
          </w:tcPr>
          <w:p w14:paraId="55EDC1CD" w14:textId="77777777" w:rsidR="000E4203" w:rsidRPr="000E4203" w:rsidRDefault="000E4203">
            <w:pPr>
              <w:jc w:val="center"/>
              <w:rPr>
                <w:rFonts w:cstheme="minorHAnsi"/>
                <w:color w:val="000000"/>
              </w:rPr>
            </w:pPr>
            <w:r w:rsidRPr="000E4203">
              <w:rPr>
                <w:rFonts w:cstheme="minorHAnsi"/>
                <w:color w:val="000000"/>
              </w:rPr>
              <w:t>6-Month Term SOFR +100bps Daily Return Index</w:t>
            </w:r>
          </w:p>
        </w:tc>
      </w:tr>
      <w:tr w:rsidR="000E4203" w:rsidRPr="000E4203" w14:paraId="4F6B691F" w14:textId="77777777" w:rsidTr="000E4203">
        <w:trPr>
          <w:trHeight w:val="300"/>
          <w:jc w:val="center"/>
        </w:trPr>
        <w:tc>
          <w:tcPr>
            <w:tcW w:w="1701" w:type="dxa"/>
            <w:tcBorders>
              <w:top w:val="single" w:sz="4" w:space="0" w:color="C2CACE"/>
              <w:left w:val="nil"/>
              <w:bottom w:val="single" w:sz="4" w:space="0" w:color="C2CACE"/>
              <w:right w:val="nil"/>
            </w:tcBorders>
            <w:noWrap/>
            <w:vAlign w:val="bottom"/>
            <w:hideMark/>
          </w:tcPr>
          <w:p w14:paraId="735A3859" w14:textId="77777777" w:rsidR="000E4203" w:rsidRPr="000E4203" w:rsidRDefault="000E4203">
            <w:pPr>
              <w:jc w:val="center"/>
              <w:rPr>
                <w:rFonts w:cstheme="minorHAnsi"/>
                <w:color w:val="000000"/>
              </w:rPr>
            </w:pPr>
            <w:r w:rsidRPr="000E4203">
              <w:rPr>
                <w:rFonts w:cstheme="minorHAnsi"/>
                <w:color w:val="000000"/>
              </w:rPr>
              <w:t>TSF10I12</w:t>
            </w:r>
          </w:p>
        </w:tc>
        <w:tc>
          <w:tcPr>
            <w:tcW w:w="4819" w:type="dxa"/>
            <w:tcBorders>
              <w:top w:val="single" w:sz="4" w:space="0" w:color="C2CACE"/>
              <w:left w:val="nil"/>
              <w:bottom w:val="single" w:sz="4" w:space="0" w:color="C2CACE"/>
              <w:right w:val="nil"/>
            </w:tcBorders>
            <w:noWrap/>
            <w:vAlign w:val="bottom"/>
            <w:hideMark/>
          </w:tcPr>
          <w:p w14:paraId="67309FB2" w14:textId="77777777" w:rsidR="000E4203" w:rsidRPr="000E4203" w:rsidRDefault="000E4203">
            <w:pPr>
              <w:jc w:val="center"/>
              <w:rPr>
                <w:rFonts w:cstheme="minorHAnsi"/>
                <w:color w:val="000000"/>
              </w:rPr>
            </w:pPr>
            <w:r w:rsidRPr="000E4203">
              <w:rPr>
                <w:rFonts w:cstheme="minorHAnsi"/>
                <w:color w:val="000000"/>
              </w:rPr>
              <w:t>12-Month Term SOFR +100bps Daily Return Index</w:t>
            </w:r>
          </w:p>
        </w:tc>
      </w:tr>
      <w:tr w:rsidR="000E4203" w:rsidRPr="000E4203" w14:paraId="45D1A8B0" w14:textId="77777777" w:rsidTr="000E4203">
        <w:trPr>
          <w:trHeight w:val="300"/>
          <w:jc w:val="center"/>
        </w:trPr>
        <w:tc>
          <w:tcPr>
            <w:tcW w:w="1701" w:type="dxa"/>
            <w:tcBorders>
              <w:top w:val="single" w:sz="4" w:space="0" w:color="C2CACE"/>
              <w:left w:val="nil"/>
              <w:bottom w:val="single" w:sz="4" w:space="0" w:color="C2CACE"/>
              <w:right w:val="nil"/>
            </w:tcBorders>
            <w:noWrap/>
            <w:vAlign w:val="bottom"/>
            <w:hideMark/>
          </w:tcPr>
          <w:p w14:paraId="66ACB4F5" w14:textId="77777777" w:rsidR="000E4203" w:rsidRPr="000E4203" w:rsidRDefault="000E4203">
            <w:pPr>
              <w:jc w:val="center"/>
              <w:rPr>
                <w:rFonts w:cstheme="minorHAnsi"/>
                <w:color w:val="000000"/>
              </w:rPr>
            </w:pPr>
            <w:r w:rsidRPr="000E4203">
              <w:rPr>
                <w:rFonts w:cstheme="minorHAnsi"/>
                <w:color w:val="000000"/>
              </w:rPr>
              <w:t>TSF15I01</w:t>
            </w:r>
          </w:p>
        </w:tc>
        <w:tc>
          <w:tcPr>
            <w:tcW w:w="4819" w:type="dxa"/>
            <w:tcBorders>
              <w:top w:val="single" w:sz="4" w:space="0" w:color="C2CACE"/>
              <w:left w:val="nil"/>
              <w:bottom w:val="single" w:sz="4" w:space="0" w:color="C2CACE"/>
              <w:right w:val="nil"/>
            </w:tcBorders>
            <w:noWrap/>
            <w:vAlign w:val="bottom"/>
            <w:hideMark/>
          </w:tcPr>
          <w:p w14:paraId="0AA70E06" w14:textId="77777777" w:rsidR="000E4203" w:rsidRPr="000E4203" w:rsidRDefault="000E4203">
            <w:pPr>
              <w:jc w:val="center"/>
              <w:rPr>
                <w:rFonts w:cstheme="minorHAnsi"/>
                <w:color w:val="000000"/>
              </w:rPr>
            </w:pPr>
            <w:r w:rsidRPr="000E4203">
              <w:rPr>
                <w:rFonts w:cstheme="minorHAnsi"/>
                <w:color w:val="000000"/>
              </w:rPr>
              <w:t>1-Month Term SOFR +150bps Daily Return Index</w:t>
            </w:r>
          </w:p>
        </w:tc>
      </w:tr>
      <w:tr w:rsidR="000E4203" w:rsidRPr="000E4203" w14:paraId="793FC705" w14:textId="77777777" w:rsidTr="000E4203">
        <w:trPr>
          <w:trHeight w:val="300"/>
          <w:jc w:val="center"/>
        </w:trPr>
        <w:tc>
          <w:tcPr>
            <w:tcW w:w="1701" w:type="dxa"/>
            <w:tcBorders>
              <w:top w:val="single" w:sz="4" w:space="0" w:color="C2CACE"/>
              <w:left w:val="nil"/>
              <w:bottom w:val="single" w:sz="4" w:space="0" w:color="C2CACE"/>
              <w:right w:val="nil"/>
            </w:tcBorders>
            <w:noWrap/>
            <w:vAlign w:val="bottom"/>
            <w:hideMark/>
          </w:tcPr>
          <w:p w14:paraId="17413DBC" w14:textId="77777777" w:rsidR="000E4203" w:rsidRPr="000E4203" w:rsidRDefault="000E4203">
            <w:pPr>
              <w:jc w:val="center"/>
              <w:rPr>
                <w:rFonts w:cstheme="minorHAnsi"/>
                <w:color w:val="000000"/>
              </w:rPr>
            </w:pPr>
            <w:r w:rsidRPr="000E4203">
              <w:rPr>
                <w:rFonts w:cstheme="minorHAnsi"/>
                <w:color w:val="000000"/>
              </w:rPr>
              <w:t>TSF15I03</w:t>
            </w:r>
          </w:p>
        </w:tc>
        <w:tc>
          <w:tcPr>
            <w:tcW w:w="4819" w:type="dxa"/>
            <w:tcBorders>
              <w:top w:val="single" w:sz="4" w:space="0" w:color="C2CACE"/>
              <w:left w:val="nil"/>
              <w:bottom w:val="single" w:sz="4" w:space="0" w:color="C2CACE"/>
              <w:right w:val="nil"/>
            </w:tcBorders>
            <w:noWrap/>
            <w:vAlign w:val="bottom"/>
            <w:hideMark/>
          </w:tcPr>
          <w:p w14:paraId="3CEA07F3" w14:textId="77777777" w:rsidR="000E4203" w:rsidRPr="000E4203" w:rsidRDefault="000E4203">
            <w:pPr>
              <w:jc w:val="center"/>
              <w:rPr>
                <w:rFonts w:cstheme="minorHAnsi"/>
                <w:color w:val="000000"/>
              </w:rPr>
            </w:pPr>
            <w:r w:rsidRPr="000E4203">
              <w:rPr>
                <w:rFonts w:cstheme="minorHAnsi"/>
                <w:color w:val="000000"/>
              </w:rPr>
              <w:t>3-Month Term SOFR +150bps Daily Return Index</w:t>
            </w:r>
          </w:p>
        </w:tc>
      </w:tr>
      <w:tr w:rsidR="000E4203" w:rsidRPr="000E4203" w14:paraId="47C9A107" w14:textId="77777777" w:rsidTr="000E4203">
        <w:trPr>
          <w:trHeight w:val="300"/>
          <w:jc w:val="center"/>
        </w:trPr>
        <w:tc>
          <w:tcPr>
            <w:tcW w:w="1701" w:type="dxa"/>
            <w:tcBorders>
              <w:top w:val="single" w:sz="4" w:space="0" w:color="C2CACE"/>
              <w:left w:val="nil"/>
              <w:bottom w:val="single" w:sz="4" w:space="0" w:color="C2CACE"/>
              <w:right w:val="nil"/>
            </w:tcBorders>
            <w:noWrap/>
            <w:vAlign w:val="bottom"/>
            <w:hideMark/>
          </w:tcPr>
          <w:p w14:paraId="1EC3118A" w14:textId="77777777" w:rsidR="000E4203" w:rsidRPr="000E4203" w:rsidRDefault="000E4203">
            <w:pPr>
              <w:jc w:val="center"/>
              <w:rPr>
                <w:rFonts w:cstheme="minorHAnsi"/>
                <w:color w:val="000000"/>
              </w:rPr>
            </w:pPr>
            <w:r w:rsidRPr="000E4203">
              <w:rPr>
                <w:rFonts w:cstheme="minorHAnsi"/>
                <w:color w:val="000000"/>
              </w:rPr>
              <w:t>TSF15I06</w:t>
            </w:r>
          </w:p>
        </w:tc>
        <w:tc>
          <w:tcPr>
            <w:tcW w:w="4819" w:type="dxa"/>
            <w:tcBorders>
              <w:top w:val="single" w:sz="4" w:space="0" w:color="C2CACE"/>
              <w:left w:val="nil"/>
              <w:bottom w:val="single" w:sz="4" w:space="0" w:color="C2CACE"/>
              <w:right w:val="nil"/>
            </w:tcBorders>
            <w:noWrap/>
            <w:vAlign w:val="bottom"/>
            <w:hideMark/>
          </w:tcPr>
          <w:p w14:paraId="3C84A563" w14:textId="77777777" w:rsidR="000E4203" w:rsidRPr="000E4203" w:rsidRDefault="000E4203">
            <w:pPr>
              <w:jc w:val="center"/>
              <w:rPr>
                <w:rFonts w:cstheme="minorHAnsi"/>
                <w:color w:val="000000"/>
              </w:rPr>
            </w:pPr>
            <w:r w:rsidRPr="000E4203">
              <w:rPr>
                <w:rFonts w:cstheme="minorHAnsi"/>
                <w:color w:val="000000"/>
              </w:rPr>
              <w:t>6-Month Term SOFR +150bps Daily Return Index</w:t>
            </w:r>
          </w:p>
        </w:tc>
      </w:tr>
      <w:tr w:rsidR="000E4203" w:rsidRPr="000E4203" w14:paraId="7E6D403A" w14:textId="77777777" w:rsidTr="000E4203">
        <w:trPr>
          <w:trHeight w:val="300"/>
          <w:jc w:val="center"/>
        </w:trPr>
        <w:tc>
          <w:tcPr>
            <w:tcW w:w="1701" w:type="dxa"/>
            <w:tcBorders>
              <w:top w:val="single" w:sz="4" w:space="0" w:color="C2CACE"/>
              <w:left w:val="nil"/>
              <w:bottom w:val="single" w:sz="4" w:space="0" w:color="C2CACE"/>
              <w:right w:val="nil"/>
            </w:tcBorders>
            <w:noWrap/>
            <w:vAlign w:val="bottom"/>
            <w:hideMark/>
          </w:tcPr>
          <w:p w14:paraId="1D33701F" w14:textId="77777777" w:rsidR="000E4203" w:rsidRPr="000E4203" w:rsidRDefault="000E4203">
            <w:pPr>
              <w:jc w:val="center"/>
              <w:rPr>
                <w:rFonts w:cstheme="minorHAnsi"/>
                <w:color w:val="000000"/>
              </w:rPr>
            </w:pPr>
            <w:r w:rsidRPr="000E4203">
              <w:rPr>
                <w:rFonts w:cstheme="minorHAnsi"/>
                <w:color w:val="000000"/>
              </w:rPr>
              <w:t>TSF15I12</w:t>
            </w:r>
          </w:p>
        </w:tc>
        <w:tc>
          <w:tcPr>
            <w:tcW w:w="4819" w:type="dxa"/>
            <w:tcBorders>
              <w:top w:val="single" w:sz="4" w:space="0" w:color="C2CACE"/>
              <w:left w:val="nil"/>
              <w:bottom w:val="single" w:sz="4" w:space="0" w:color="C2CACE"/>
              <w:right w:val="nil"/>
            </w:tcBorders>
            <w:noWrap/>
            <w:vAlign w:val="bottom"/>
            <w:hideMark/>
          </w:tcPr>
          <w:p w14:paraId="59612249" w14:textId="77777777" w:rsidR="000E4203" w:rsidRPr="000E4203" w:rsidRDefault="000E4203">
            <w:pPr>
              <w:jc w:val="center"/>
              <w:rPr>
                <w:rFonts w:cstheme="minorHAnsi"/>
                <w:color w:val="000000"/>
              </w:rPr>
            </w:pPr>
            <w:r w:rsidRPr="000E4203">
              <w:rPr>
                <w:rFonts w:cstheme="minorHAnsi"/>
                <w:color w:val="000000"/>
              </w:rPr>
              <w:t>12-Month Term SOFR +150bps Daily Return Index</w:t>
            </w:r>
          </w:p>
        </w:tc>
      </w:tr>
      <w:tr w:rsidR="000E4203" w:rsidRPr="000E4203" w14:paraId="25751C92" w14:textId="77777777" w:rsidTr="000E4203">
        <w:trPr>
          <w:trHeight w:val="300"/>
          <w:jc w:val="center"/>
        </w:trPr>
        <w:tc>
          <w:tcPr>
            <w:tcW w:w="1701" w:type="dxa"/>
            <w:tcBorders>
              <w:top w:val="single" w:sz="4" w:space="0" w:color="C2CACE"/>
              <w:left w:val="nil"/>
              <w:bottom w:val="single" w:sz="4" w:space="0" w:color="C2CACE"/>
              <w:right w:val="nil"/>
            </w:tcBorders>
            <w:noWrap/>
            <w:vAlign w:val="bottom"/>
            <w:hideMark/>
          </w:tcPr>
          <w:p w14:paraId="4045FEFC" w14:textId="77777777" w:rsidR="000E4203" w:rsidRPr="000E4203" w:rsidRDefault="000E4203">
            <w:pPr>
              <w:jc w:val="center"/>
              <w:rPr>
                <w:rFonts w:cstheme="minorHAnsi"/>
                <w:color w:val="000000"/>
              </w:rPr>
            </w:pPr>
            <w:r w:rsidRPr="000E4203">
              <w:rPr>
                <w:rFonts w:cstheme="minorHAnsi"/>
                <w:color w:val="000000"/>
              </w:rPr>
              <w:t>TSF20I01</w:t>
            </w:r>
          </w:p>
        </w:tc>
        <w:tc>
          <w:tcPr>
            <w:tcW w:w="4819" w:type="dxa"/>
            <w:tcBorders>
              <w:top w:val="single" w:sz="4" w:space="0" w:color="C2CACE"/>
              <w:left w:val="nil"/>
              <w:bottom w:val="single" w:sz="4" w:space="0" w:color="C2CACE"/>
              <w:right w:val="nil"/>
            </w:tcBorders>
            <w:noWrap/>
            <w:vAlign w:val="bottom"/>
            <w:hideMark/>
          </w:tcPr>
          <w:p w14:paraId="5853E495" w14:textId="77777777" w:rsidR="000E4203" w:rsidRPr="000E4203" w:rsidRDefault="000E4203">
            <w:pPr>
              <w:jc w:val="center"/>
              <w:rPr>
                <w:rFonts w:cstheme="minorHAnsi"/>
                <w:color w:val="000000"/>
              </w:rPr>
            </w:pPr>
            <w:r w:rsidRPr="000E4203">
              <w:rPr>
                <w:rFonts w:cstheme="minorHAnsi"/>
                <w:color w:val="000000"/>
              </w:rPr>
              <w:t>1-Month Term SOFR +200bps Daily Return Index</w:t>
            </w:r>
          </w:p>
        </w:tc>
      </w:tr>
      <w:tr w:rsidR="000E4203" w:rsidRPr="000E4203" w14:paraId="4D3B3D6D" w14:textId="77777777" w:rsidTr="000E4203">
        <w:trPr>
          <w:trHeight w:val="300"/>
          <w:jc w:val="center"/>
        </w:trPr>
        <w:tc>
          <w:tcPr>
            <w:tcW w:w="1701" w:type="dxa"/>
            <w:tcBorders>
              <w:top w:val="single" w:sz="4" w:space="0" w:color="C2CACE"/>
              <w:left w:val="nil"/>
              <w:bottom w:val="single" w:sz="4" w:space="0" w:color="C2CACE"/>
              <w:right w:val="nil"/>
            </w:tcBorders>
            <w:noWrap/>
            <w:vAlign w:val="bottom"/>
            <w:hideMark/>
          </w:tcPr>
          <w:p w14:paraId="18D5CADC" w14:textId="77777777" w:rsidR="000E4203" w:rsidRPr="000E4203" w:rsidRDefault="000E4203">
            <w:pPr>
              <w:jc w:val="center"/>
              <w:rPr>
                <w:rFonts w:cstheme="minorHAnsi"/>
                <w:color w:val="000000"/>
              </w:rPr>
            </w:pPr>
            <w:r w:rsidRPr="000E4203">
              <w:rPr>
                <w:rFonts w:cstheme="minorHAnsi"/>
                <w:color w:val="000000"/>
              </w:rPr>
              <w:t>TSF20I03</w:t>
            </w:r>
          </w:p>
        </w:tc>
        <w:tc>
          <w:tcPr>
            <w:tcW w:w="4819" w:type="dxa"/>
            <w:tcBorders>
              <w:top w:val="single" w:sz="4" w:space="0" w:color="C2CACE"/>
              <w:left w:val="nil"/>
              <w:bottom w:val="single" w:sz="4" w:space="0" w:color="C2CACE"/>
              <w:right w:val="nil"/>
            </w:tcBorders>
            <w:noWrap/>
            <w:vAlign w:val="bottom"/>
            <w:hideMark/>
          </w:tcPr>
          <w:p w14:paraId="5CD407C7" w14:textId="77777777" w:rsidR="000E4203" w:rsidRPr="000E4203" w:rsidRDefault="000E4203">
            <w:pPr>
              <w:jc w:val="center"/>
              <w:rPr>
                <w:rFonts w:cstheme="minorHAnsi"/>
                <w:color w:val="000000"/>
              </w:rPr>
            </w:pPr>
            <w:r w:rsidRPr="000E4203">
              <w:rPr>
                <w:rFonts w:cstheme="minorHAnsi"/>
                <w:color w:val="000000"/>
              </w:rPr>
              <w:t>3-Month Term SOFR +200bps Daily Return Index</w:t>
            </w:r>
          </w:p>
        </w:tc>
      </w:tr>
      <w:tr w:rsidR="000E4203" w:rsidRPr="000E4203" w14:paraId="3978305F" w14:textId="77777777" w:rsidTr="000E4203">
        <w:trPr>
          <w:trHeight w:val="300"/>
          <w:jc w:val="center"/>
        </w:trPr>
        <w:tc>
          <w:tcPr>
            <w:tcW w:w="1701" w:type="dxa"/>
            <w:tcBorders>
              <w:top w:val="single" w:sz="4" w:space="0" w:color="C2CACE"/>
              <w:left w:val="nil"/>
              <w:bottom w:val="single" w:sz="4" w:space="0" w:color="C2CACE"/>
              <w:right w:val="nil"/>
            </w:tcBorders>
            <w:noWrap/>
            <w:vAlign w:val="bottom"/>
            <w:hideMark/>
          </w:tcPr>
          <w:p w14:paraId="74B05A28" w14:textId="77777777" w:rsidR="000E4203" w:rsidRPr="000E4203" w:rsidRDefault="000E4203">
            <w:pPr>
              <w:jc w:val="center"/>
              <w:rPr>
                <w:rFonts w:cstheme="minorHAnsi"/>
                <w:color w:val="000000"/>
              </w:rPr>
            </w:pPr>
            <w:r w:rsidRPr="000E4203">
              <w:rPr>
                <w:rFonts w:cstheme="minorHAnsi"/>
                <w:color w:val="000000"/>
              </w:rPr>
              <w:t>TSF20I06</w:t>
            </w:r>
          </w:p>
        </w:tc>
        <w:tc>
          <w:tcPr>
            <w:tcW w:w="4819" w:type="dxa"/>
            <w:tcBorders>
              <w:top w:val="single" w:sz="4" w:space="0" w:color="C2CACE"/>
              <w:left w:val="nil"/>
              <w:bottom w:val="single" w:sz="4" w:space="0" w:color="C2CACE"/>
              <w:right w:val="nil"/>
            </w:tcBorders>
            <w:noWrap/>
            <w:vAlign w:val="bottom"/>
            <w:hideMark/>
          </w:tcPr>
          <w:p w14:paraId="2C7FAF63" w14:textId="77777777" w:rsidR="000E4203" w:rsidRPr="000E4203" w:rsidRDefault="000E4203">
            <w:pPr>
              <w:jc w:val="center"/>
              <w:rPr>
                <w:rFonts w:cstheme="minorHAnsi"/>
                <w:color w:val="000000"/>
              </w:rPr>
            </w:pPr>
            <w:r w:rsidRPr="000E4203">
              <w:rPr>
                <w:rFonts w:cstheme="minorHAnsi"/>
                <w:color w:val="000000"/>
              </w:rPr>
              <w:t>6-Month Term SOFR +200bps Daily Return Index</w:t>
            </w:r>
          </w:p>
        </w:tc>
      </w:tr>
      <w:tr w:rsidR="000E4203" w:rsidRPr="000E4203" w14:paraId="762C67BD" w14:textId="77777777" w:rsidTr="000E4203">
        <w:trPr>
          <w:trHeight w:val="300"/>
          <w:jc w:val="center"/>
        </w:trPr>
        <w:tc>
          <w:tcPr>
            <w:tcW w:w="1701" w:type="dxa"/>
            <w:tcBorders>
              <w:top w:val="single" w:sz="4" w:space="0" w:color="C2CACE"/>
              <w:left w:val="nil"/>
              <w:bottom w:val="single" w:sz="4" w:space="0" w:color="C2CACE"/>
              <w:right w:val="nil"/>
            </w:tcBorders>
            <w:noWrap/>
            <w:vAlign w:val="bottom"/>
            <w:hideMark/>
          </w:tcPr>
          <w:p w14:paraId="52E48A52" w14:textId="77777777" w:rsidR="000E4203" w:rsidRPr="000E4203" w:rsidRDefault="000E4203">
            <w:pPr>
              <w:jc w:val="center"/>
              <w:rPr>
                <w:rFonts w:cstheme="minorHAnsi"/>
                <w:color w:val="000000"/>
              </w:rPr>
            </w:pPr>
            <w:r w:rsidRPr="000E4203">
              <w:rPr>
                <w:rFonts w:cstheme="minorHAnsi"/>
                <w:color w:val="000000"/>
              </w:rPr>
              <w:t>TSF20I12</w:t>
            </w:r>
          </w:p>
        </w:tc>
        <w:tc>
          <w:tcPr>
            <w:tcW w:w="4819" w:type="dxa"/>
            <w:tcBorders>
              <w:top w:val="single" w:sz="4" w:space="0" w:color="C2CACE"/>
              <w:left w:val="nil"/>
              <w:bottom w:val="single" w:sz="4" w:space="0" w:color="C2CACE"/>
              <w:right w:val="nil"/>
            </w:tcBorders>
            <w:noWrap/>
            <w:vAlign w:val="bottom"/>
            <w:hideMark/>
          </w:tcPr>
          <w:p w14:paraId="249B5584" w14:textId="77777777" w:rsidR="000E4203" w:rsidRPr="000E4203" w:rsidRDefault="000E4203">
            <w:pPr>
              <w:jc w:val="center"/>
              <w:rPr>
                <w:rFonts w:cstheme="minorHAnsi"/>
                <w:color w:val="000000"/>
              </w:rPr>
            </w:pPr>
            <w:r w:rsidRPr="000E4203">
              <w:rPr>
                <w:rFonts w:cstheme="minorHAnsi"/>
                <w:color w:val="000000"/>
              </w:rPr>
              <w:t>12-Month Term SOFR +200bps Daily Return Index</w:t>
            </w:r>
          </w:p>
        </w:tc>
      </w:tr>
      <w:tr w:rsidR="000E4203" w:rsidRPr="000E4203" w14:paraId="15F1283D" w14:textId="77777777" w:rsidTr="000E4203">
        <w:trPr>
          <w:trHeight w:val="300"/>
          <w:jc w:val="center"/>
        </w:trPr>
        <w:tc>
          <w:tcPr>
            <w:tcW w:w="1701" w:type="dxa"/>
            <w:tcBorders>
              <w:top w:val="single" w:sz="4" w:space="0" w:color="C2CACE"/>
              <w:left w:val="nil"/>
              <w:bottom w:val="single" w:sz="4" w:space="0" w:color="C2CACE"/>
              <w:right w:val="nil"/>
            </w:tcBorders>
            <w:noWrap/>
            <w:vAlign w:val="bottom"/>
            <w:hideMark/>
          </w:tcPr>
          <w:p w14:paraId="2094C61B" w14:textId="77777777" w:rsidR="000E4203" w:rsidRPr="000E4203" w:rsidRDefault="000E4203">
            <w:pPr>
              <w:jc w:val="center"/>
              <w:rPr>
                <w:rFonts w:cstheme="minorHAnsi"/>
                <w:color w:val="000000"/>
              </w:rPr>
            </w:pPr>
            <w:r w:rsidRPr="000E4203">
              <w:rPr>
                <w:rFonts w:cstheme="minorHAnsi"/>
                <w:color w:val="000000"/>
              </w:rPr>
              <w:t>TSF25I01</w:t>
            </w:r>
          </w:p>
        </w:tc>
        <w:tc>
          <w:tcPr>
            <w:tcW w:w="4819" w:type="dxa"/>
            <w:tcBorders>
              <w:top w:val="single" w:sz="4" w:space="0" w:color="C2CACE"/>
              <w:left w:val="nil"/>
              <w:bottom w:val="single" w:sz="4" w:space="0" w:color="C2CACE"/>
              <w:right w:val="nil"/>
            </w:tcBorders>
            <w:noWrap/>
            <w:vAlign w:val="bottom"/>
            <w:hideMark/>
          </w:tcPr>
          <w:p w14:paraId="0680CACF" w14:textId="77777777" w:rsidR="000E4203" w:rsidRPr="000E4203" w:rsidRDefault="000E4203">
            <w:pPr>
              <w:jc w:val="center"/>
              <w:rPr>
                <w:rFonts w:cstheme="minorHAnsi"/>
                <w:color w:val="000000"/>
              </w:rPr>
            </w:pPr>
            <w:r w:rsidRPr="000E4203">
              <w:rPr>
                <w:rFonts w:cstheme="minorHAnsi"/>
                <w:color w:val="000000"/>
              </w:rPr>
              <w:t>1-Month Term SOFR +250bps Daily Return Index</w:t>
            </w:r>
          </w:p>
        </w:tc>
      </w:tr>
      <w:tr w:rsidR="000E4203" w:rsidRPr="000E4203" w14:paraId="0E459DAF" w14:textId="77777777" w:rsidTr="000E4203">
        <w:trPr>
          <w:trHeight w:val="300"/>
          <w:jc w:val="center"/>
        </w:trPr>
        <w:tc>
          <w:tcPr>
            <w:tcW w:w="1701" w:type="dxa"/>
            <w:tcBorders>
              <w:top w:val="single" w:sz="4" w:space="0" w:color="C2CACE"/>
              <w:left w:val="nil"/>
              <w:bottom w:val="single" w:sz="4" w:space="0" w:color="C2CACE"/>
              <w:right w:val="nil"/>
            </w:tcBorders>
            <w:noWrap/>
            <w:vAlign w:val="bottom"/>
            <w:hideMark/>
          </w:tcPr>
          <w:p w14:paraId="5FA1791C" w14:textId="77777777" w:rsidR="000E4203" w:rsidRPr="000E4203" w:rsidRDefault="000E4203">
            <w:pPr>
              <w:jc w:val="center"/>
              <w:rPr>
                <w:rFonts w:cstheme="minorHAnsi"/>
                <w:color w:val="000000"/>
              </w:rPr>
            </w:pPr>
            <w:r w:rsidRPr="000E4203">
              <w:rPr>
                <w:rFonts w:cstheme="minorHAnsi"/>
                <w:color w:val="000000"/>
              </w:rPr>
              <w:t>TSF25I03</w:t>
            </w:r>
          </w:p>
        </w:tc>
        <w:tc>
          <w:tcPr>
            <w:tcW w:w="4819" w:type="dxa"/>
            <w:tcBorders>
              <w:top w:val="single" w:sz="4" w:space="0" w:color="C2CACE"/>
              <w:left w:val="nil"/>
              <w:bottom w:val="single" w:sz="4" w:space="0" w:color="C2CACE"/>
              <w:right w:val="nil"/>
            </w:tcBorders>
            <w:noWrap/>
            <w:vAlign w:val="bottom"/>
            <w:hideMark/>
          </w:tcPr>
          <w:p w14:paraId="50B015EA" w14:textId="77777777" w:rsidR="000E4203" w:rsidRPr="000E4203" w:rsidRDefault="000E4203">
            <w:pPr>
              <w:jc w:val="center"/>
              <w:rPr>
                <w:rFonts w:cstheme="minorHAnsi"/>
                <w:color w:val="000000"/>
              </w:rPr>
            </w:pPr>
            <w:r w:rsidRPr="000E4203">
              <w:rPr>
                <w:rFonts w:cstheme="minorHAnsi"/>
                <w:color w:val="000000"/>
              </w:rPr>
              <w:t>3-Month Term SOFR +250bps Daily Return Index</w:t>
            </w:r>
          </w:p>
        </w:tc>
      </w:tr>
      <w:tr w:rsidR="000E4203" w:rsidRPr="000E4203" w14:paraId="73980F18" w14:textId="77777777" w:rsidTr="000E4203">
        <w:trPr>
          <w:trHeight w:val="300"/>
          <w:jc w:val="center"/>
        </w:trPr>
        <w:tc>
          <w:tcPr>
            <w:tcW w:w="1701" w:type="dxa"/>
            <w:tcBorders>
              <w:top w:val="single" w:sz="4" w:space="0" w:color="C2CACE"/>
              <w:left w:val="nil"/>
              <w:bottom w:val="single" w:sz="4" w:space="0" w:color="C2CACE"/>
              <w:right w:val="nil"/>
            </w:tcBorders>
            <w:noWrap/>
            <w:vAlign w:val="bottom"/>
            <w:hideMark/>
          </w:tcPr>
          <w:p w14:paraId="1FBEF6BA" w14:textId="77777777" w:rsidR="000E4203" w:rsidRPr="000E4203" w:rsidRDefault="000E4203">
            <w:pPr>
              <w:jc w:val="center"/>
              <w:rPr>
                <w:rFonts w:cstheme="minorHAnsi"/>
                <w:color w:val="000000"/>
              </w:rPr>
            </w:pPr>
            <w:r w:rsidRPr="000E4203">
              <w:rPr>
                <w:rFonts w:cstheme="minorHAnsi"/>
                <w:color w:val="000000"/>
              </w:rPr>
              <w:t>TSF25I06</w:t>
            </w:r>
          </w:p>
        </w:tc>
        <w:tc>
          <w:tcPr>
            <w:tcW w:w="4819" w:type="dxa"/>
            <w:tcBorders>
              <w:top w:val="single" w:sz="4" w:space="0" w:color="C2CACE"/>
              <w:left w:val="nil"/>
              <w:bottom w:val="single" w:sz="4" w:space="0" w:color="C2CACE"/>
              <w:right w:val="nil"/>
            </w:tcBorders>
            <w:noWrap/>
            <w:vAlign w:val="bottom"/>
            <w:hideMark/>
          </w:tcPr>
          <w:p w14:paraId="7C0C013A" w14:textId="77777777" w:rsidR="000E4203" w:rsidRPr="000E4203" w:rsidRDefault="000E4203">
            <w:pPr>
              <w:jc w:val="center"/>
              <w:rPr>
                <w:rFonts w:cstheme="minorHAnsi"/>
                <w:color w:val="000000"/>
              </w:rPr>
            </w:pPr>
            <w:r w:rsidRPr="000E4203">
              <w:rPr>
                <w:rFonts w:cstheme="minorHAnsi"/>
                <w:color w:val="000000"/>
              </w:rPr>
              <w:t>6-Month Term SOFR +250bps Daily Return Index</w:t>
            </w:r>
          </w:p>
        </w:tc>
      </w:tr>
      <w:tr w:rsidR="000E4203" w:rsidRPr="000E4203" w14:paraId="6FD558D9" w14:textId="77777777" w:rsidTr="000E4203">
        <w:trPr>
          <w:trHeight w:val="300"/>
          <w:jc w:val="center"/>
        </w:trPr>
        <w:tc>
          <w:tcPr>
            <w:tcW w:w="1701" w:type="dxa"/>
            <w:tcBorders>
              <w:top w:val="single" w:sz="4" w:space="0" w:color="C2CACE"/>
              <w:left w:val="nil"/>
              <w:bottom w:val="single" w:sz="4" w:space="0" w:color="C2CACE"/>
              <w:right w:val="nil"/>
            </w:tcBorders>
            <w:noWrap/>
            <w:vAlign w:val="bottom"/>
            <w:hideMark/>
          </w:tcPr>
          <w:p w14:paraId="2B8803D5" w14:textId="77777777" w:rsidR="000E4203" w:rsidRPr="000E4203" w:rsidRDefault="000E4203">
            <w:pPr>
              <w:jc w:val="center"/>
              <w:rPr>
                <w:rFonts w:cstheme="minorHAnsi"/>
                <w:color w:val="000000"/>
              </w:rPr>
            </w:pPr>
            <w:r w:rsidRPr="000E4203">
              <w:rPr>
                <w:rFonts w:cstheme="minorHAnsi"/>
                <w:color w:val="000000"/>
              </w:rPr>
              <w:t>TSF25I12</w:t>
            </w:r>
          </w:p>
        </w:tc>
        <w:tc>
          <w:tcPr>
            <w:tcW w:w="4819" w:type="dxa"/>
            <w:tcBorders>
              <w:top w:val="single" w:sz="4" w:space="0" w:color="C2CACE"/>
              <w:left w:val="nil"/>
              <w:bottom w:val="single" w:sz="4" w:space="0" w:color="C2CACE"/>
              <w:right w:val="nil"/>
            </w:tcBorders>
            <w:noWrap/>
            <w:vAlign w:val="bottom"/>
            <w:hideMark/>
          </w:tcPr>
          <w:p w14:paraId="1C07BC73" w14:textId="77777777" w:rsidR="000E4203" w:rsidRPr="000E4203" w:rsidRDefault="000E4203">
            <w:pPr>
              <w:jc w:val="center"/>
              <w:rPr>
                <w:rFonts w:cstheme="minorHAnsi"/>
                <w:color w:val="000000"/>
              </w:rPr>
            </w:pPr>
            <w:r w:rsidRPr="000E4203">
              <w:rPr>
                <w:rFonts w:cstheme="minorHAnsi"/>
                <w:color w:val="000000"/>
              </w:rPr>
              <w:t>12-Month Term SOFR +250bps Daily Return Index</w:t>
            </w:r>
          </w:p>
        </w:tc>
      </w:tr>
      <w:tr w:rsidR="000E4203" w:rsidRPr="000E4203" w14:paraId="14F7CBD6" w14:textId="77777777" w:rsidTr="000E4203">
        <w:trPr>
          <w:trHeight w:val="300"/>
          <w:jc w:val="center"/>
        </w:trPr>
        <w:tc>
          <w:tcPr>
            <w:tcW w:w="1701" w:type="dxa"/>
            <w:tcBorders>
              <w:top w:val="single" w:sz="4" w:space="0" w:color="C2CACE"/>
              <w:left w:val="nil"/>
              <w:bottom w:val="single" w:sz="4" w:space="0" w:color="C2CACE"/>
              <w:right w:val="nil"/>
            </w:tcBorders>
            <w:noWrap/>
            <w:vAlign w:val="bottom"/>
            <w:hideMark/>
          </w:tcPr>
          <w:p w14:paraId="66BE6B33" w14:textId="77777777" w:rsidR="000E4203" w:rsidRPr="000E4203" w:rsidRDefault="000E4203">
            <w:pPr>
              <w:jc w:val="center"/>
              <w:rPr>
                <w:rFonts w:cstheme="minorHAnsi"/>
                <w:color w:val="000000"/>
              </w:rPr>
            </w:pPr>
            <w:r w:rsidRPr="000E4203">
              <w:rPr>
                <w:rFonts w:cstheme="minorHAnsi"/>
                <w:color w:val="000000"/>
              </w:rPr>
              <w:t>TSF30I01</w:t>
            </w:r>
          </w:p>
        </w:tc>
        <w:tc>
          <w:tcPr>
            <w:tcW w:w="4819" w:type="dxa"/>
            <w:tcBorders>
              <w:top w:val="single" w:sz="4" w:space="0" w:color="C2CACE"/>
              <w:left w:val="nil"/>
              <w:bottom w:val="single" w:sz="4" w:space="0" w:color="C2CACE"/>
              <w:right w:val="nil"/>
            </w:tcBorders>
            <w:noWrap/>
            <w:vAlign w:val="bottom"/>
            <w:hideMark/>
          </w:tcPr>
          <w:p w14:paraId="322372CC" w14:textId="77777777" w:rsidR="000E4203" w:rsidRPr="000E4203" w:rsidRDefault="000E4203">
            <w:pPr>
              <w:jc w:val="center"/>
              <w:rPr>
                <w:rFonts w:cstheme="minorHAnsi"/>
                <w:color w:val="000000"/>
              </w:rPr>
            </w:pPr>
            <w:r w:rsidRPr="000E4203">
              <w:rPr>
                <w:rFonts w:cstheme="minorHAnsi"/>
                <w:color w:val="000000"/>
              </w:rPr>
              <w:t>1-Month Term SOFR +300bps Daily Return Index</w:t>
            </w:r>
          </w:p>
        </w:tc>
      </w:tr>
      <w:tr w:rsidR="000E4203" w:rsidRPr="000E4203" w14:paraId="5C34F5F9" w14:textId="77777777" w:rsidTr="000E4203">
        <w:trPr>
          <w:trHeight w:val="300"/>
          <w:jc w:val="center"/>
        </w:trPr>
        <w:tc>
          <w:tcPr>
            <w:tcW w:w="1701" w:type="dxa"/>
            <w:tcBorders>
              <w:top w:val="single" w:sz="4" w:space="0" w:color="C2CACE"/>
              <w:left w:val="nil"/>
              <w:bottom w:val="single" w:sz="4" w:space="0" w:color="C2CACE"/>
              <w:right w:val="nil"/>
            </w:tcBorders>
            <w:noWrap/>
            <w:vAlign w:val="bottom"/>
            <w:hideMark/>
          </w:tcPr>
          <w:p w14:paraId="01538E6A" w14:textId="77777777" w:rsidR="000E4203" w:rsidRPr="000E4203" w:rsidRDefault="000E4203">
            <w:pPr>
              <w:jc w:val="center"/>
              <w:rPr>
                <w:rFonts w:cstheme="minorHAnsi"/>
                <w:color w:val="000000"/>
              </w:rPr>
            </w:pPr>
            <w:r w:rsidRPr="000E4203">
              <w:rPr>
                <w:rFonts w:cstheme="minorHAnsi"/>
                <w:color w:val="000000"/>
              </w:rPr>
              <w:t>TSF30I03</w:t>
            </w:r>
          </w:p>
        </w:tc>
        <w:tc>
          <w:tcPr>
            <w:tcW w:w="4819" w:type="dxa"/>
            <w:tcBorders>
              <w:top w:val="single" w:sz="4" w:space="0" w:color="C2CACE"/>
              <w:left w:val="nil"/>
              <w:bottom w:val="single" w:sz="4" w:space="0" w:color="C2CACE"/>
              <w:right w:val="nil"/>
            </w:tcBorders>
            <w:noWrap/>
            <w:vAlign w:val="bottom"/>
            <w:hideMark/>
          </w:tcPr>
          <w:p w14:paraId="7D8B186D" w14:textId="77777777" w:rsidR="000E4203" w:rsidRPr="000E4203" w:rsidRDefault="000E4203">
            <w:pPr>
              <w:jc w:val="center"/>
              <w:rPr>
                <w:rFonts w:cstheme="minorHAnsi"/>
                <w:color w:val="000000"/>
              </w:rPr>
            </w:pPr>
            <w:r w:rsidRPr="000E4203">
              <w:rPr>
                <w:rFonts w:cstheme="minorHAnsi"/>
                <w:color w:val="000000"/>
              </w:rPr>
              <w:t>3-Month Term SOFR +300bps Daily Return Index</w:t>
            </w:r>
          </w:p>
        </w:tc>
      </w:tr>
      <w:tr w:rsidR="000E4203" w:rsidRPr="000E4203" w14:paraId="3DCC2554" w14:textId="77777777" w:rsidTr="000E4203">
        <w:trPr>
          <w:trHeight w:val="300"/>
          <w:jc w:val="center"/>
        </w:trPr>
        <w:tc>
          <w:tcPr>
            <w:tcW w:w="1701" w:type="dxa"/>
            <w:tcBorders>
              <w:top w:val="single" w:sz="4" w:space="0" w:color="C2CACE"/>
              <w:left w:val="nil"/>
              <w:bottom w:val="single" w:sz="4" w:space="0" w:color="C2CACE"/>
              <w:right w:val="nil"/>
            </w:tcBorders>
            <w:noWrap/>
            <w:vAlign w:val="bottom"/>
            <w:hideMark/>
          </w:tcPr>
          <w:p w14:paraId="76CD37E2" w14:textId="77777777" w:rsidR="000E4203" w:rsidRPr="000E4203" w:rsidRDefault="000E4203">
            <w:pPr>
              <w:jc w:val="center"/>
              <w:rPr>
                <w:rFonts w:cstheme="minorHAnsi"/>
                <w:color w:val="000000"/>
              </w:rPr>
            </w:pPr>
            <w:r w:rsidRPr="000E4203">
              <w:rPr>
                <w:rFonts w:cstheme="minorHAnsi"/>
                <w:color w:val="000000"/>
              </w:rPr>
              <w:t>TSF30I06</w:t>
            </w:r>
          </w:p>
        </w:tc>
        <w:tc>
          <w:tcPr>
            <w:tcW w:w="4819" w:type="dxa"/>
            <w:tcBorders>
              <w:top w:val="single" w:sz="4" w:space="0" w:color="C2CACE"/>
              <w:left w:val="nil"/>
              <w:bottom w:val="single" w:sz="4" w:space="0" w:color="C2CACE"/>
              <w:right w:val="nil"/>
            </w:tcBorders>
            <w:noWrap/>
            <w:vAlign w:val="bottom"/>
            <w:hideMark/>
          </w:tcPr>
          <w:p w14:paraId="39E5BE8E" w14:textId="77777777" w:rsidR="000E4203" w:rsidRPr="000E4203" w:rsidRDefault="000E4203">
            <w:pPr>
              <w:jc w:val="center"/>
              <w:rPr>
                <w:rFonts w:cstheme="minorHAnsi"/>
                <w:color w:val="000000"/>
              </w:rPr>
            </w:pPr>
            <w:r w:rsidRPr="000E4203">
              <w:rPr>
                <w:rFonts w:cstheme="minorHAnsi"/>
                <w:color w:val="000000"/>
              </w:rPr>
              <w:t>6-Month Term SOFR +300bps Daily Return Index</w:t>
            </w:r>
          </w:p>
        </w:tc>
      </w:tr>
      <w:tr w:rsidR="000E4203" w:rsidRPr="000E4203" w14:paraId="4875630D" w14:textId="77777777" w:rsidTr="000E4203">
        <w:trPr>
          <w:trHeight w:val="300"/>
          <w:jc w:val="center"/>
        </w:trPr>
        <w:tc>
          <w:tcPr>
            <w:tcW w:w="1701" w:type="dxa"/>
            <w:tcBorders>
              <w:top w:val="single" w:sz="4" w:space="0" w:color="C2CACE"/>
              <w:left w:val="nil"/>
              <w:bottom w:val="single" w:sz="4" w:space="0" w:color="C2CACE"/>
              <w:right w:val="nil"/>
            </w:tcBorders>
            <w:noWrap/>
            <w:vAlign w:val="bottom"/>
            <w:hideMark/>
          </w:tcPr>
          <w:p w14:paraId="5BC0D5E4" w14:textId="77777777" w:rsidR="000E4203" w:rsidRPr="000E4203" w:rsidRDefault="000E4203">
            <w:pPr>
              <w:jc w:val="center"/>
              <w:rPr>
                <w:rFonts w:cstheme="minorHAnsi"/>
                <w:color w:val="000000"/>
              </w:rPr>
            </w:pPr>
            <w:r w:rsidRPr="000E4203">
              <w:rPr>
                <w:rFonts w:cstheme="minorHAnsi"/>
                <w:color w:val="000000"/>
              </w:rPr>
              <w:t>TSF30I12</w:t>
            </w:r>
          </w:p>
        </w:tc>
        <w:tc>
          <w:tcPr>
            <w:tcW w:w="4819" w:type="dxa"/>
            <w:tcBorders>
              <w:top w:val="single" w:sz="4" w:space="0" w:color="C2CACE"/>
              <w:left w:val="nil"/>
              <w:bottom w:val="single" w:sz="4" w:space="0" w:color="C2CACE"/>
              <w:right w:val="nil"/>
            </w:tcBorders>
            <w:noWrap/>
            <w:vAlign w:val="bottom"/>
            <w:hideMark/>
          </w:tcPr>
          <w:p w14:paraId="0FDA6585" w14:textId="77777777" w:rsidR="000E4203" w:rsidRPr="000E4203" w:rsidRDefault="000E4203">
            <w:pPr>
              <w:jc w:val="center"/>
              <w:rPr>
                <w:rFonts w:cstheme="minorHAnsi"/>
                <w:color w:val="000000"/>
              </w:rPr>
            </w:pPr>
            <w:r w:rsidRPr="000E4203">
              <w:rPr>
                <w:rFonts w:cstheme="minorHAnsi"/>
                <w:color w:val="000000"/>
              </w:rPr>
              <w:t>12-Month Term SOFR +300bps Daily Return Index</w:t>
            </w:r>
          </w:p>
        </w:tc>
      </w:tr>
    </w:tbl>
    <w:p w14:paraId="1FDECD69" w14:textId="77777777" w:rsidR="00386F4C" w:rsidRDefault="00386F4C" w:rsidP="00893C33">
      <w:pPr>
        <w:pStyle w:val="BodyText"/>
      </w:pPr>
    </w:p>
    <w:p w14:paraId="7B01E57A" w14:textId="68409CB0" w:rsidR="007F6555" w:rsidRDefault="00893C33" w:rsidP="00893C33">
      <w:pPr>
        <w:pStyle w:val="BodyText"/>
      </w:pPr>
      <w:r>
        <w:t xml:space="preserve">These Benchmarks </w:t>
      </w:r>
      <w:proofErr w:type="gramStart"/>
      <w:r>
        <w:t>are administered</w:t>
      </w:r>
      <w:proofErr w:type="gramEnd"/>
      <w:r>
        <w:t xml:space="preserve"> and calculated by CME Group Benchmark Administration Limited</w:t>
      </w:r>
      <w:r w:rsidR="00BD3982">
        <w:t xml:space="preserve"> (CBA)</w:t>
      </w:r>
      <w:r>
        <w:t>, authorized and supervised</w:t>
      </w:r>
      <w:r w:rsidR="00D427E2">
        <w:t>, as a Benchmark Administrator</w:t>
      </w:r>
      <w:r>
        <w:t xml:space="preserve"> by the UK Financial Conduct Authority.</w:t>
      </w:r>
    </w:p>
    <w:p w14:paraId="12CD6B24" w14:textId="77777777" w:rsidR="00F140CF" w:rsidRDefault="00F140CF" w:rsidP="00796016">
      <w:r>
        <w:br w:type="page"/>
      </w:r>
    </w:p>
    <w:p w14:paraId="6D93F441" w14:textId="77777777" w:rsidR="009D0B59" w:rsidRPr="00796016" w:rsidRDefault="009D0B59" w:rsidP="009D0B59">
      <w:pPr>
        <w:spacing w:after="120"/>
      </w:pPr>
    </w:p>
    <w:tbl>
      <w:tblPr>
        <w:tblStyle w:val="CMETable"/>
        <w:tblW w:w="0" w:type="auto"/>
        <w:tblBorders>
          <w:insideH w:val="single" w:sz="4" w:space="0" w:color="auto"/>
          <w:insideV w:val="single" w:sz="4" w:space="0" w:color="auto"/>
        </w:tblBorders>
        <w:tblLook w:val="04A0" w:firstRow="1" w:lastRow="0" w:firstColumn="1" w:lastColumn="0" w:noHBand="0" w:noVBand="1"/>
      </w:tblPr>
      <w:tblGrid>
        <w:gridCol w:w="1074"/>
        <w:gridCol w:w="4715"/>
        <w:gridCol w:w="3945"/>
      </w:tblGrid>
      <w:tr w:rsidR="009D0B59" w:rsidRPr="00CC51CD" w14:paraId="60635B2C" w14:textId="77777777" w:rsidTr="009F6360">
        <w:trPr>
          <w:cnfStyle w:val="100000000000" w:firstRow="1" w:lastRow="0" w:firstColumn="0" w:lastColumn="0" w:oddVBand="0" w:evenVBand="0" w:oddHBand="0" w:evenHBand="0" w:firstRowFirstColumn="0" w:firstRowLastColumn="0" w:lastRowFirstColumn="0" w:lastRowLastColumn="0"/>
          <w:tblHeader/>
        </w:trPr>
        <w:tc>
          <w:tcPr>
            <w:tcW w:w="1074" w:type="dxa"/>
          </w:tcPr>
          <w:p w14:paraId="600E59F2" w14:textId="77777777" w:rsidR="009D0B59" w:rsidRPr="00CC51CD" w:rsidRDefault="009D0B59" w:rsidP="00CC6A1F">
            <w:pPr>
              <w:rPr>
                <w:b/>
              </w:rPr>
            </w:pPr>
            <w:r w:rsidRPr="00CC51CD">
              <w:rPr>
                <w:b/>
              </w:rPr>
              <w:t>BMR / RTS</w:t>
            </w:r>
          </w:p>
        </w:tc>
        <w:tc>
          <w:tcPr>
            <w:tcW w:w="4715" w:type="dxa"/>
          </w:tcPr>
          <w:p w14:paraId="219D8E54" w14:textId="77777777" w:rsidR="009D0B59" w:rsidRPr="009D0B59" w:rsidRDefault="009D0B59" w:rsidP="00CC6A1F">
            <w:pPr>
              <w:rPr>
                <w:b/>
              </w:rPr>
            </w:pPr>
            <w:r w:rsidRPr="009D0B59">
              <w:rPr>
                <w:b/>
              </w:rPr>
              <w:t>BMR Benchmark Statement requirement</w:t>
            </w:r>
          </w:p>
        </w:tc>
        <w:tc>
          <w:tcPr>
            <w:tcW w:w="3945" w:type="dxa"/>
          </w:tcPr>
          <w:p w14:paraId="3469F832" w14:textId="77777777" w:rsidR="009D0B59" w:rsidRPr="00CC51CD" w:rsidRDefault="009D0B59" w:rsidP="00CC6A1F">
            <w:pPr>
              <w:rPr>
                <w:b/>
              </w:rPr>
            </w:pPr>
            <w:r w:rsidRPr="00CC51CD">
              <w:rPr>
                <w:b/>
              </w:rPr>
              <w:t xml:space="preserve">Administrator’s statement </w:t>
            </w:r>
          </w:p>
        </w:tc>
      </w:tr>
      <w:tr w:rsidR="009D0B59" w14:paraId="34861D68" w14:textId="77777777" w:rsidTr="009F6360">
        <w:tc>
          <w:tcPr>
            <w:tcW w:w="1074" w:type="dxa"/>
          </w:tcPr>
          <w:p w14:paraId="5EAD8BFC" w14:textId="77777777" w:rsidR="009D0B59" w:rsidRPr="009D0B59" w:rsidRDefault="009D0B59" w:rsidP="00CC6A1F">
            <w:pPr>
              <w:rPr>
                <w:b/>
                <w:bCs/>
              </w:rPr>
            </w:pPr>
            <w:r w:rsidRPr="009D0B59">
              <w:rPr>
                <w:b/>
                <w:bCs/>
              </w:rPr>
              <w:t>Article 27 (1) BMR</w:t>
            </w:r>
          </w:p>
        </w:tc>
        <w:tc>
          <w:tcPr>
            <w:tcW w:w="4715" w:type="dxa"/>
          </w:tcPr>
          <w:p w14:paraId="42E03D0E" w14:textId="77777777" w:rsidR="009D0B59" w:rsidRPr="009D0B59" w:rsidRDefault="009D0B59" w:rsidP="00CC6A1F">
            <w:pPr>
              <w:rPr>
                <w:bCs/>
              </w:rPr>
            </w:pPr>
            <w:r w:rsidRPr="009D0B59">
              <w:rPr>
                <w:bCs/>
              </w:rPr>
              <w:t xml:space="preserve">Within two weeks of the inclusion of an administrator in the register referred to in Article 36, the administrator shall publish, by means that ensure fair and easy access, a benchmark statement for each benchmark or, where applicable, for each family of benchmarks, that may </w:t>
            </w:r>
            <w:proofErr w:type="gramStart"/>
            <w:r w:rsidRPr="009D0B59">
              <w:rPr>
                <w:bCs/>
              </w:rPr>
              <w:t>be used</w:t>
            </w:r>
            <w:proofErr w:type="gramEnd"/>
            <w:r w:rsidRPr="009D0B59">
              <w:rPr>
                <w:bCs/>
              </w:rPr>
              <w:t xml:space="preserve"> in the Union in accordance with Article 29. Where that administrator begins providing a new benchmark or family of benchmarks that may </w:t>
            </w:r>
            <w:proofErr w:type="gramStart"/>
            <w:r w:rsidRPr="009D0B59">
              <w:rPr>
                <w:bCs/>
              </w:rPr>
              <w:t>be used</w:t>
            </w:r>
            <w:proofErr w:type="gramEnd"/>
            <w:r w:rsidRPr="009D0B59">
              <w:rPr>
                <w:bCs/>
              </w:rPr>
              <w:t xml:space="preserve"> in the Union in accordance with Article 29, the administrator shall publish, within two weeks and by means that ensure a fair and easy access, a benchmark statement for each new benchmark or, where applicable, family of benchmarks. The administrator shall review and, where necessary, update the benchmark statement for each benchmark or family of benchmarks in the event of any changes to the information to </w:t>
            </w:r>
            <w:proofErr w:type="gramStart"/>
            <w:r w:rsidRPr="009D0B59">
              <w:rPr>
                <w:bCs/>
              </w:rPr>
              <w:t>be provided</w:t>
            </w:r>
            <w:proofErr w:type="gramEnd"/>
            <w:r w:rsidRPr="009D0B59">
              <w:rPr>
                <w:bCs/>
              </w:rPr>
              <w:t xml:space="preserve"> under this Article and at least every two years.</w:t>
            </w:r>
          </w:p>
        </w:tc>
        <w:tc>
          <w:tcPr>
            <w:tcW w:w="3945" w:type="dxa"/>
          </w:tcPr>
          <w:p w14:paraId="2F931B40" w14:textId="77777777" w:rsidR="009D0B59" w:rsidRDefault="009D0B59" w:rsidP="00CC6A1F">
            <w:r>
              <w:t>In order to facilitate fair and easy access, this Benchmark Statement appears on the Administrator’s website.</w:t>
            </w:r>
          </w:p>
          <w:p w14:paraId="398945EF" w14:textId="77777777" w:rsidR="009D0B59" w:rsidRDefault="009D0B59" w:rsidP="00CC6A1F"/>
          <w:p w14:paraId="624CB9F0" w14:textId="77777777" w:rsidR="009D0B59" w:rsidRDefault="009D0B59" w:rsidP="00CC6A1F">
            <w:r>
              <w:t xml:space="preserve">The Administrator shall ensure that this Benchmark Statement </w:t>
            </w:r>
            <w:proofErr w:type="gramStart"/>
            <w:r>
              <w:t>is updated</w:t>
            </w:r>
            <w:proofErr w:type="gramEnd"/>
            <w:r>
              <w:t xml:space="preserve"> in the event of any material changes and no later than every two years.</w:t>
            </w:r>
          </w:p>
        </w:tc>
      </w:tr>
      <w:tr w:rsidR="009D0B59" w:rsidRPr="00BD598C" w14:paraId="0D8C8143" w14:textId="77777777" w:rsidTr="009F6360">
        <w:tc>
          <w:tcPr>
            <w:tcW w:w="9734" w:type="dxa"/>
            <w:gridSpan w:val="3"/>
          </w:tcPr>
          <w:p w14:paraId="1822E3DE" w14:textId="77777777" w:rsidR="009D0B59" w:rsidRPr="009D0B59" w:rsidRDefault="009D0B59" w:rsidP="00CC6A1F">
            <w:pPr>
              <w:rPr>
                <w:bCs/>
              </w:rPr>
            </w:pPr>
            <w:r w:rsidRPr="009D0B59">
              <w:rPr>
                <w:bCs/>
              </w:rPr>
              <w:t>The Benchmark Statement shall:</w:t>
            </w:r>
          </w:p>
        </w:tc>
      </w:tr>
      <w:tr w:rsidR="009D0B59" w14:paraId="0852915E" w14:textId="77777777" w:rsidTr="009F6360">
        <w:tc>
          <w:tcPr>
            <w:tcW w:w="1074" w:type="dxa"/>
          </w:tcPr>
          <w:p w14:paraId="62479100" w14:textId="77777777" w:rsidR="009D0B59" w:rsidRPr="009D0B59" w:rsidRDefault="009D0B59" w:rsidP="00CC6A1F">
            <w:pPr>
              <w:rPr>
                <w:b/>
                <w:bCs/>
              </w:rPr>
            </w:pPr>
            <w:r w:rsidRPr="009D0B59">
              <w:rPr>
                <w:b/>
                <w:bCs/>
              </w:rPr>
              <w:t>(a)</w:t>
            </w:r>
          </w:p>
        </w:tc>
        <w:tc>
          <w:tcPr>
            <w:tcW w:w="4715" w:type="dxa"/>
          </w:tcPr>
          <w:p w14:paraId="6E928689" w14:textId="77777777" w:rsidR="009D0B59" w:rsidRPr="009D0B59" w:rsidRDefault="009D0B59" w:rsidP="00CC6A1F">
            <w:pPr>
              <w:rPr>
                <w:bCs/>
              </w:rPr>
            </w:pPr>
            <w:r w:rsidRPr="009D0B59">
              <w:rPr>
                <w:bCs/>
              </w:rPr>
              <w:t>clearly and unambiguously define the market or economic reality measured by the benchmark and the circumstances in which such measurement may become unreliable;</w:t>
            </w:r>
          </w:p>
        </w:tc>
        <w:tc>
          <w:tcPr>
            <w:tcW w:w="3945" w:type="dxa"/>
          </w:tcPr>
          <w:p w14:paraId="0640384C" w14:textId="30300E7D" w:rsidR="006C514E" w:rsidRDefault="00386F4C" w:rsidP="006C514E">
            <w:r w:rsidRPr="00386F4C">
              <w:t xml:space="preserve">The CME Term SOFR Daily </w:t>
            </w:r>
            <w:r w:rsidR="007F70EA">
              <w:t>Return Indices</w:t>
            </w:r>
            <w:r w:rsidRPr="00386F4C">
              <w:t xml:space="preserve"> measure the compound return for each of the CME Term SOFR Reference Rates</w:t>
            </w:r>
            <w:r>
              <w:t>, including spread adjusted versions</w:t>
            </w:r>
            <w:r w:rsidRPr="00386F4C">
              <w:t>. The initial value for each CME Term SOFR Daily Return Index is set to 100.000000 on September 21, 2021</w:t>
            </w:r>
            <w:r w:rsidR="006C514E">
              <w:t>.</w:t>
            </w:r>
          </w:p>
          <w:p w14:paraId="68BC7F44" w14:textId="77777777" w:rsidR="006C514E" w:rsidRDefault="006C514E" w:rsidP="006C514E"/>
          <w:p w14:paraId="226B54BB" w14:textId="66099B94" w:rsidR="006C514E" w:rsidRDefault="006C514E" w:rsidP="006C514E">
            <w:r>
              <w:t xml:space="preserve">The </w:t>
            </w:r>
            <w:r w:rsidR="00386F4C" w:rsidRPr="00386F4C">
              <w:t xml:space="preserve">CME Term SOFR Daily </w:t>
            </w:r>
            <w:r w:rsidR="007F70EA">
              <w:t>Return Indices</w:t>
            </w:r>
            <w:r w:rsidR="00386F4C" w:rsidRPr="00386F4C">
              <w:t xml:space="preserve"> </w:t>
            </w:r>
            <w:r>
              <w:t>may become unreliable as a result of insufficient input data or severe market disruption</w:t>
            </w:r>
            <w:r w:rsidR="00386F4C">
              <w:t xml:space="preserve"> which affects the CME Term SOFR Reference Rates input data</w:t>
            </w:r>
            <w:r>
              <w:t xml:space="preserve">. </w:t>
            </w:r>
          </w:p>
          <w:p w14:paraId="0A9E5B89" w14:textId="77777777" w:rsidR="006C514E" w:rsidRDefault="006C514E" w:rsidP="006C514E"/>
          <w:p w14:paraId="782A42D3" w14:textId="3D6EFDDC" w:rsidR="009D0B59" w:rsidRDefault="006C514E" w:rsidP="006C514E">
            <w:r>
              <w:t xml:space="preserve">The input data used in the calculation of the </w:t>
            </w:r>
            <w:r w:rsidR="00386F4C" w:rsidRPr="00386F4C">
              <w:t xml:space="preserve">CME Term SOFR Daily </w:t>
            </w:r>
            <w:r w:rsidR="007F70EA">
              <w:t>Return Indices</w:t>
            </w:r>
            <w:r w:rsidR="00386F4C" w:rsidRPr="00386F4C">
              <w:t xml:space="preserve"> </w:t>
            </w:r>
            <w:r w:rsidR="000E4203">
              <w:t>consist of</w:t>
            </w:r>
            <w:r>
              <w:t xml:space="preserve"> </w:t>
            </w:r>
            <w:r w:rsidR="00386F4C">
              <w:t>the four CME Term SOFR Reference Rates (1-Month CME Term SOFR, 3-Month CME Term SOFR, 6-Month CME Term SOFR, 12-Month CME Term SOFR)</w:t>
            </w:r>
            <w:r w:rsidR="000E4203">
              <w:t>.</w:t>
            </w:r>
          </w:p>
        </w:tc>
      </w:tr>
      <w:tr w:rsidR="009D0B59" w14:paraId="249B65CC" w14:textId="77777777" w:rsidTr="009F6360">
        <w:tc>
          <w:tcPr>
            <w:tcW w:w="1074" w:type="dxa"/>
          </w:tcPr>
          <w:p w14:paraId="629F683C" w14:textId="77777777" w:rsidR="009D0B59" w:rsidRPr="009D0B59" w:rsidRDefault="009D0B59" w:rsidP="00CC6A1F">
            <w:pPr>
              <w:rPr>
                <w:b/>
                <w:bCs/>
              </w:rPr>
            </w:pPr>
            <w:r w:rsidRPr="009D0B59">
              <w:rPr>
                <w:b/>
                <w:bCs/>
              </w:rPr>
              <w:t>(b)</w:t>
            </w:r>
          </w:p>
        </w:tc>
        <w:tc>
          <w:tcPr>
            <w:tcW w:w="4715" w:type="dxa"/>
          </w:tcPr>
          <w:p w14:paraId="186EC2A1" w14:textId="77777777" w:rsidR="009D0B59" w:rsidRPr="009D0B59" w:rsidRDefault="009D0B59" w:rsidP="00CC6A1F">
            <w:pPr>
              <w:rPr>
                <w:bCs/>
              </w:rPr>
            </w:pPr>
            <w:r w:rsidRPr="009D0B59">
              <w:rPr>
                <w:bCs/>
              </w:rPr>
              <w:t xml:space="preserve">lay down technical specifications that clearly and unambiguously identify the elements of the calculation of the benchmark in relation to which discretion may </w:t>
            </w:r>
            <w:proofErr w:type="gramStart"/>
            <w:r w:rsidRPr="009D0B59">
              <w:rPr>
                <w:bCs/>
              </w:rPr>
              <w:t>be exercised</w:t>
            </w:r>
            <w:proofErr w:type="gramEnd"/>
            <w:r w:rsidRPr="009D0B59">
              <w:rPr>
                <w:bCs/>
              </w:rPr>
              <w:t>, the criteria applicable to the exercise of such discretion and the position of the persons that can exercise discretion, and how such discretion may be subsequently evaluated;</w:t>
            </w:r>
          </w:p>
        </w:tc>
        <w:tc>
          <w:tcPr>
            <w:tcW w:w="3945" w:type="dxa"/>
          </w:tcPr>
          <w:p w14:paraId="6C2D657D" w14:textId="51E26F4D" w:rsidR="00D427E2" w:rsidRDefault="006C514E" w:rsidP="00D427E2">
            <w:r>
              <w:t xml:space="preserve">The </w:t>
            </w:r>
            <w:r w:rsidR="00386F4C" w:rsidRPr="00386F4C">
              <w:t xml:space="preserve">CME Term SOFR Daily </w:t>
            </w:r>
            <w:r w:rsidR="007F70EA">
              <w:t>Return Indices</w:t>
            </w:r>
            <w:r w:rsidR="00386F4C" w:rsidRPr="00386F4C">
              <w:t xml:space="preserve"> </w:t>
            </w:r>
            <w:r>
              <w:t>d</w:t>
            </w:r>
            <w:r w:rsidR="007F70EA">
              <w:t>o</w:t>
            </w:r>
            <w:r>
              <w:t xml:space="preserve"> not include the use of discretion in the benchmark determination process.</w:t>
            </w:r>
          </w:p>
        </w:tc>
      </w:tr>
      <w:tr w:rsidR="009D0B59" w:rsidRPr="00355195" w14:paraId="44CA6160" w14:textId="77777777" w:rsidTr="009F6360">
        <w:tc>
          <w:tcPr>
            <w:tcW w:w="1074" w:type="dxa"/>
          </w:tcPr>
          <w:p w14:paraId="789D0079" w14:textId="77777777" w:rsidR="009D0B59" w:rsidRPr="009D0B59" w:rsidRDefault="009D0B59" w:rsidP="00CC6A1F">
            <w:pPr>
              <w:rPr>
                <w:b/>
                <w:bCs/>
              </w:rPr>
            </w:pPr>
            <w:r w:rsidRPr="009D0B59">
              <w:rPr>
                <w:b/>
                <w:bCs/>
              </w:rPr>
              <w:t>(c)</w:t>
            </w:r>
          </w:p>
        </w:tc>
        <w:tc>
          <w:tcPr>
            <w:tcW w:w="4715" w:type="dxa"/>
          </w:tcPr>
          <w:p w14:paraId="3A281918" w14:textId="77777777" w:rsidR="009D0B59" w:rsidRPr="009D0B59" w:rsidRDefault="009D0B59" w:rsidP="00CC6A1F">
            <w:pPr>
              <w:rPr>
                <w:bCs/>
              </w:rPr>
            </w:pPr>
            <w:r w:rsidRPr="009D0B59">
              <w:rPr>
                <w:bCs/>
              </w:rPr>
              <w:t xml:space="preserve">provide notice of the possibility that factors, including external factors beyond the control of the </w:t>
            </w:r>
            <w:r w:rsidRPr="009D0B59">
              <w:rPr>
                <w:bCs/>
              </w:rPr>
              <w:lastRenderedPageBreak/>
              <w:t>administrator, may necessitate changes to, or the cessation of, the benchmark; and</w:t>
            </w:r>
          </w:p>
        </w:tc>
        <w:tc>
          <w:tcPr>
            <w:tcW w:w="3945" w:type="dxa"/>
          </w:tcPr>
          <w:p w14:paraId="2F57805E" w14:textId="77777777" w:rsidR="009D0B59" w:rsidRPr="00D427E2" w:rsidRDefault="009D0B59" w:rsidP="00CC6A1F">
            <w:r w:rsidRPr="00D427E2">
              <w:lastRenderedPageBreak/>
              <w:t xml:space="preserve">There is the possibility that factors, including external factors beyond the control of the Administrator, may </w:t>
            </w:r>
            <w:r w:rsidRPr="00D427E2">
              <w:lastRenderedPageBreak/>
              <w:t xml:space="preserve">necessitate changes to, or the cessation of, the Benchmarks. </w:t>
            </w:r>
          </w:p>
          <w:p w14:paraId="4AE45709" w14:textId="77777777" w:rsidR="009D0B59" w:rsidRPr="00D427E2" w:rsidRDefault="009D0B59" w:rsidP="00CC6A1F"/>
          <w:p w14:paraId="34EBD9A6" w14:textId="088E703E" w:rsidR="009D0B59" w:rsidRDefault="009D0B59" w:rsidP="00CC6A1F">
            <w:r w:rsidRPr="00D427E2">
              <w:t xml:space="preserve">Where material changes to or the cessation of the Benchmarks become necessary, the Administrator will engage stakeholders and users by way of a public consultation. </w:t>
            </w:r>
          </w:p>
          <w:p w14:paraId="5B74AD19" w14:textId="2621893A" w:rsidR="00135861" w:rsidRDefault="00135861" w:rsidP="00CC6A1F"/>
          <w:p w14:paraId="6F9A342F" w14:textId="5F5F7067" w:rsidR="00135861" w:rsidRPr="00D427E2" w:rsidRDefault="00135861" w:rsidP="00CC6A1F">
            <w:r>
              <w:t xml:space="preserve">Details of any consultation or cessation process will be published to the </w:t>
            </w:r>
            <w:hyperlink r:id="rId12" w:history="1">
              <w:r w:rsidRPr="00005BCB">
                <w:rPr>
                  <w:rStyle w:val="Hyperlink"/>
                </w:rPr>
                <w:t>CME Website</w:t>
              </w:r>
            </w:hyperlink>
            <w:r>
              <w:t>.</w:t>
            </w:r>
          </w:p>
          <w:p w14:paraId="570985ED" w14:textId="77777777" w:rsidR="009D0B59" w:rsidRPr="00D427E2" w:rsidRDefault="009D0B59" w:rsidP="00CC6A1F"/>
          <w:p w14:paraId="2363C006" w14:textId="24C10613" w:rsidR="009D0B59" w:rsidRPr="00D427E2" w:rsidRDefault="009D0B59" w:rsidP="00CC6A1F">
            <w:r w:rsidRPr="00D427E2">
              <w:t xml:space="preserve">All changes </w:t>
            </w:r>
            <w:proofErr w:type="gramStart"/>
            <w:r w:rsidRPr="00D427E2">
              <w:t>are reviewed</w:t>
            </w:r>
            <w:proofErr w:type="gramEnd"/>
            <w:r w:rsidRPr="00D427E2">
              <w:t xml:space="preserve"> and approved by the </w:t>
            </w:r>
            <w:r w:rsidR="000E4203">
              <w:t xml:space="preserve">Term SOFR </w:t>
            </w:r>
            <w:r w:rsidRPr="00D427E2">
              <w:t>Oversight Committee.</w:t>
            </w:r>
          </w:p>
        </w:tc>
      </w:tr>
      <w:tr w:rsidR="009D0B59" w14:paraId="5F82F344" w14:textId="77777777" w:rsidTr="009F6360">
        <w:tc>
          <w:tcPr>
            <w:tcW w:w="1074" w:type="dxa"/>
          </w:tcPr>
          <w:p w14:paraId="23066662" w14:textId="77777777" w:rsidR="009D0B59" w:rsidRPr="009D0B59" w:rsidRDefault="009D0B59" w:rsidP="00CC6A1F">
            <w:pPr>
              <w:rPr>
                <w:b/>
                <w:bCs/>
              </w:rPr>
            </w:pPr>
            <w:r w:rsidRPr="009D0B59">
              <w:rPr>
                <w:b/>
                <w:bCs/>
              </w:rPr>
              <w:lastRenderedPageBreak/>
              <w:t>(d)</w:t>
            </w:r>
          </w:p>
        </w:tc>
        <w:tc>
          <w:tcPr>
            <w:tcW w:w="4715" w:type="dxa"/>
          </w:tcPr>
          <w:p w14:paraId="47929485" w14:textId="77777777" w:rsidR="009D0B59" w:rsidRPr="009D0B59" w:rsidRDefault="009D0B59" w:rsidP="00CC6A1F">
            <w:pPr>
              <w:rPr>
                <w:bCs/>
              </w:rPr>
            </w:pPr>
            <w:r w:rsidRPr="009D0B59">
              <w:rPr>
                <w:bCs/>
              </w:rPr>
              <w:t>advise users that changes to, or the cessation of, the benchmark may have an impact upon the financial contracts and financial instruments that reference the benchmark or the measurement of the performance of investment funds.</w:t>
            </w:r>
          </w:p>
        </w:tc>
        <w:tc>
          <w:tcPr>
            <w:tcW w:w="3945" w:type="dxa"/>
          </w:tcPr>
          <w:p w14:paraId="5D5880C4" w14:textId="77777777" w:rsidR="009D0B59" w:rsidRDefault="009D0B59" w:rsidP="00CC6A1F">
            <w:r>
              <w:t>C</w:t>
            </w:r>
            <w:r w:rsidRPr="002D0C09">
              <w:t xml:space="preserve">hanges to, or the cessation of, the </w:t>
            </w:r>
            <w:r>
              <w:t>Benchmarks</w:t>
            </w:r>
            <w:r w:rsidRPr="002D0C09">
              <w:t xml:space="preserve"> may have an impact upon the financial contracts and financial instruments that reference the benchmark or the measurement of the performance of investment funds</w:t>
            </w:r>
            <w:r>
              <w:t xml:space="preserve">. </w:t>
            </w:r>
          </w:p>
          <w:p w14:paraId="2750BFDD" w14:textId="77777777" w:rsidR="009D0B59" w:rsidRDefault="009D0B59" w:rsidP="00CC6A1F"/>
          <w:p w14:paraId="5FDD40E6" w14:textId="77777777" w:rsidR="009D0B59" w:rsidRDefault="009D0B59" w:rsidP="00CC6A1F">
            <w:r>
              <w:t>The Administrator advises users of the Benchmarks to regularly assess whether it remains appropriate, suitable and fit for purpose. Users should develop contingency provisions and fall-back plans in the event of the benchmark becoming unavailable.</w:t>
            </w:r>
          </w:p>
          <w:p w14:paraId="460F9990" w14:textId="77777777" w:rsidR="009D0B59" w:rsidRDefault="009D0B59" w:rsidP="00CC6A1F"/>
        </w:tc>
      </w:tr>
      <w:tr w:rsidR="009D0B59" w14:paraId="40255860" w14:textId="77777777" w:rsidTr="009F6360">
        <w:tc>
          <w:tcPr>
            <w:tcW w:w="1074" w:type="dxa"/>
          </w:tcPr>
          <w:p w14:paraId="3DBB5C42" w14:textId="77777777" w:rsidR="009D0B59" w:rsidRPr="009D0B59" w:rsidRDefault="009D0B59" w:rsidP="00CC6A1F">
            <w:pPr>
              <w:rPr>
                <w:b/>
                <w:bCs/>
              </w:rPr>
            </w:pPr>
            <w:r w:rsidRPr="009D0B59">
              <w:rPr>
                <w:b/>
                <w:bCs/>
              </w:rPr>
              <w:t>Article 27(2) BMR</w:t>
            </w:r>
          </w:p>
        </w:tc>
        <w:tc>
          <w:tcPr>
            <w:tcW w:w="8660" w:type="dxa"/>
            <w:gridSpan w:val="2"/>
          </w:tcPr>
          <w:p w14:paraId="57CF20AC" w14:textId="77777777" w:rsidR="009D0B59" w:rsidRPr="009D0B59" w:rsidRDefault="009D0B59" w:rsidP="00CC6A1F">
            <w:pPr>
              <w:rPr>
                <w:bCs/>
              </w:rPr>
            </w:pPr>
            <w:r w:rsidRPr="009D0B59">
              <w:rPr>
                <w:bCs/>
              </w:rPr>
              <w:t>A benchmark statement shall contain at least:</w:t>
            </w:r>
          </w:p>
        </w:tc>
      </w:tr>
      <w:tr w:rsidR="009D0B59" w14:paraId="473304A6" w14:textId="77777777" w:rsidTr="009F6360">
        <w:tc>
          <w:tcPr>
            <w:tcW w:w="1074" w:type="dxa"/>
          </w:tcPr>
          <w:p w14:paraId="73BC384F" w14:textId="77777777" w:rsidR="009D0B59" w:rsidRPr="009D0B59" w:rsidRDefault="009D0B59" w:rsidP="00CC6A1F">
            <w:pPr>
              <w:rPr>
                <w:b/>
                <w:bCs/>
              </w:rPr>
            </w:pPr>
            <w:r w:rsidRPr="009D0B59">
              <w:rPr>
                <w:b/>
                <w:bCs/>
              </w:rPr>
              <w:t>(a)</w:t>
            </w:r>
          </w:p>
        </w:tc>
        <w:tc>
          <w:tcPr>
            <w:tcW w:w="4715" w:type="dxa"/>
          </w:tcPr>
          <w:p w14:paraId="16C91BF3" w14:textId="77777777" w:rsidR="009D0B59" w:rsidRPr="009D0B59" w:rsidRDefault="009D0B59" w:rsidP="00CC6A1F">
            <w:pPr>
              <w:rPr>
                <w:bCs/>
              </w:rPr>
            </w:pPr>
            <w:r w:rsidRPr="009D0B59">
              <w:rPr>
                <w:bCs/>
              </w:rPr>
              <w:t>the definitions for all key terms relating to the benchmark;</w:t>
            </w:r>
          </w:p>
        </w:tc>
        <w:tc>
          <w:tcPr>
            <w:tcW w:w="3945" w:type="dxa"/>
          </w:tcPr>
          <w:p w14:paraId="3C41E676" w14:textId="77777777" w:rsidR="009D0B59" w:rsidRDefault="009D0B59" w:rsidP="00CC6A1F">
            <w:r>
              <w:t>See the Appendix for definitions used in this Benchmark Statement.</w:t>
            </w:r>
          </w:p>
        </w:tc>
      </w:tr>
      <w:tr w:rsidR="009D0B59" w14:paraId="30CD6EFB" w14:textId="77777777" w:rsidTr="009F6360">
        <w:tc>
          <w:tcPr>
            <w:tcW w:w="1074" w:type="dxa"/>
          </w:tcPr>
          <w:p w14:paraId="0B462E99" w14:textId="77777777" w:rsidR="009D0B59" w:rsidRPr="009D0B59" w:rsidRDefault="009D0B59" w:rsidP="00CC6A1F">
            <w:pPr>
              <w:rPr>
                <w:b/>
                <w:bCs/>
              </w:rPr>
            </w:pPr>
            <w:r w:rsidRPr="009D0B59">
              <w:rPr>
                <w:b/>
                <w:bCs/>
              </w:rPr>
              <w:t>(b)</w:t>
            </w:r>
          </w:p>
        </w:tc>
        <w:tc>
          <w:tcPr>
            <w:tcW w:w="4715" w:type="dxa"/>
          </w:tcPr>
          <w:p w14:paraId="1E765257" w14:textId="77777777" w:rsidR="009D0B59" w:rsidRPr="009D0B59" w:rsidRDefault="009D0B59" w:rsidP="00CC6A1F">
            <w:pPr>
              <w:rPr>
                <w:bCs/>
              </w:rPr>
            </w:pPr>
            <w:r w:rsidRPr="009D0B59">
              <w:rPr>
                <w:bCs/>
              </w:rPr>
              <w:t>the rationale for adopting the benchmark methodology and procedures for the review and approval of the methodology;</w:t>
            </w:r>
          </w:p>
        </w:tc>
        <w:tc>
          <w:tcPr>
            <w:tcW w:w="3945" w:type="dxa"/>
          </w:tcPr>
          <w:p w14:paraId="3C419445" w14:textId="7979C300" w:rsidR="009D0B59" w:rsidRDefault="008F1A7B" w:rsidP="00CC6A1F">
            <w:r w:rsidRPr="008F1A7B">
              <w:t xml:space="preserve">The CME Term SOFR Daily </w:t>
            </w:r>
            <w:r w:rsidR="007F70EA">
              <w:t>Return Indices</w:t>
            </w:r>
            <w:r w:rsidRPr="008F1A7B">
              <w:t xml:space="preserve"> </w:t>
            </w:r>
            <w:r w:rsidR="007F70EA">
              <w:t>are</w:t>
            </w:r>
            <w:r w:rsidRPr="008F1A7B">
              <w:t xml:space="preserve"> a set of benchmarks, designed to represent the daily compound return for each of the CME Term SOFR </w:t>
            </w:r>
            <w:r w:rsidR="007F70EA">
              <w:t>R</w:t>
            </w:r>
            <w:r w:rsidRPr="008F1A7B">
              <w:t xml:space="preserve">eference </w:t>
            </w:r>
            <w:r w:rsidR="007F70EA">
              <w:t>R</w:t>
            </w:r>
            <w:r w:rsidRPr="008F1A7B">
              <w:t xml:space="preserve">ates. The CME Term SOFR Daily </w:t>
            </w:r>
            <w:r w:rsidR="007F70EA">
              <w:t>Return Indices</w:t>
            </w:r>
            <w:r w:rsidRPr="008F1A7B">
              <w:t xml:space="preserve"> </w:t>
            </w:r>
            <w:proofErr w:type="gramStart"/>
            <w:r w:rsidR="007F70EA">
              <w:t>are</w:t>
            </w:r>
            <w:r w:rsidRPr="008F1A7B">
              <w:t xml:space="preserve"> calculated</w:t>
            </w:r>
            <w:proofErr w:type="gramEnd"/>
            <w:r w:rsidRPr="008F1A7B">
              <w:t xml:space="preserve"> and published for 1-month, 3-month, 6-month and 12-month Term SOFR Rates. </w:t>
            </w:r>
          </w:p>
          <w:p w14:paraId="3AE1EB8A" w14:textId="77777777" w:rsidR="00D427E2" w:rsidRDefault="00D427E2" w:rsidP="00CC6A1F"/>
          <w:p w14:paraId="0815EA1F" w14:textId="77777777" w:rsidR="009D0B59" w:rsidRDefault="009D0B59" w:rsidP="00CC6A1F">
            <w:r>
              <w:t xml:space="preserve">The Administrator regularly reviews the methodology to ensure that the Benchmarks remain representative of the economic reality intended to </w:t>
            </w:r>
            <w:proofErr w:type="gramStart"/>
            <w:r>
              <w:t>be represented</w:t>
            </w:r>
            <w:proofErr w:type="gramEnd"/>
            <w:r>
              <w:t>.</w:t>
            </w:r>
          </w:p>
          <w:p w14:paraId="4BC36AB2" w14:textId="77777777" w:rsidR="009D0B59" w:rsidRDefault="009D0B59" w:rsidP="00CC6A1F"/>
          <w:p w14:paraId="22E11ACA" w14:textId="4F8EAA3E" w:rsidR="009D0B59" w:rsidRDefault="009D0B59" w:rsidP="00CC6A1F">
            <w:r>
              <w:t xml:space="preserve">Amendments to the methodology </w:t>
            </w:r>
            <w:proofErr w:type="gramStart"/>
            <w:r>
              <w:t>are proposed</w:t>
            </w:r>
            <w:proofErr w:type="gramEnd"/>
            <w:r>
              <w:t xml:space="preserve"> by the Administrator, after wide consultation with the relevant stakeholders, and approved by the</w:t>
            </w:r>
            <w:r w:rsidR="000E4203">
              <w:t xml:space="preserve"> Term SOFR</w:t>
            </w:r>
            <w:r>
              <w:t xml:space="preserve"> Oversight Committee.</w:t>
            </w:r>
          </w:p>
        </w:tc>
      </w:tr>
      <w:tr w:rsidR="009D0B59" w14:paraId="38C198BF" w14:textId="77777777" w:rsidTr="009F6360">
        <w:tc>
          <w:tcPr>
            <w:tcW w:w="1074" w:type="dxa"/>
          </w:tcPr>
          <w:p w14:paraId="5427647B" w14:textId="77777777" w:rsidR="009D0B59" w:rsidRPr="009D0B59" w:rsidRDefault="009D0B59" w:rsidP="00CC6A1F">
            <w:pPr>
              <w:rPr>
                <w:b/>
                <w:bCs/>
              </w:rPr>
            </w:pPr>
            <w:r w:rsidRPr="009D0B59">
              <w:rPr>
                <w:b/>
                <w:bCs/>
              </w:rPr>
              <w:lastRenderedPageBreak/>
              <w:t>(c)</w:t>
            </w:r>
          </w:p>
        </w:tc>
        <w:tc>
          <w:tcPr>
            <w:tcW w:w="4715" w:type="dxa"/>
          </w:tcPr>
          <w:p w14:paraId="06469F99" w14:textId="77777777" w:rsidR="009D0B59" w:rsidRPr="009D0B59" w:rsidRDefault="009D0B59" w:rsidP="00CC6A1F">
            <w:pPr>
              <w:rPr>
                <w:bCs/>
              </w:rPr>
            </w:pPr>
            <w:bookmarkStart w:id="0" w:name="_Hlk31729127"/>
            <w:r w:rsidRPr="009D0B59">
              <w:rPr>
                <w:bCs/>
              </w:rPr>
              <w:t xml:space="preserve">The criteria and procedures used to determine the benchmark, including a description of the input data, the priority given to </w:t>
            </w:r>
            <w:proofErr w:type="gramStart"/>
            <w:r w:rsidRPr="009D0B59">
              <w:rPr>
                <w:bCs/>
              </w:rPr>
              <w:t>different types</w:t>
            </w:r>
            <w:proofErr w:type="gramEnd"/>
            <w:r w:rsidRPr="009D0B59">
              <w:rPr>
                <w:bCs/>
              </w:rPr>
              <w:t xml:space="preserve"> of input data, the minimum data needed to determine a benchmark</w:t>
            </w:r>
            <w:bookmarkEnd w:id="0"/>
            <w:r w:rsidRPr="009D0B59">
              <w:rPr>
                <w:bCs/>
              </w:rPr>
              <w:t xml:space="preserve">, the use of any models or methods of extrapolation and any procedure for rebalancing the constituents of a benchmark's index; </w:t>
            </w:r>
          </w:p>
        </w:tc>
        <w:tc>
          <w:tcPr>
            <w:tcW w:w="3945" w:type="dxa"/>
          </w:tcPr>
          <w:p w14:paraId="09E839FC" w14:textId="4F40CAF8" w:rsidR="00D427E2" w:rsidRDefault="00AB0774" w:rsidP="00D427E2">
            <w:r w:rsidRPr="00AB0774">
              <w:t xml:space="preserve">The CME Term SOFR Daily </w:t>
            </w:r>
            <w:r w:rsidR="007F70EA">
              <w:t>Return Indices</w:t>
            </w:r>
            <w:r w:rsidRPr="00AB0774">
              <w:t xml:space="preserve"> measure the compound return for each of the CME Term SOFR Reference Rates. The initial value for each CME Term SOFR Daily  Return Index is set to 100.000000 on September 21, 2021. </w:t>
            </w:r>
            <w:r>
              <w:t xml:space="preserve">The spread versions measure the compounded return for each of the </w:t>
            </w:r>
            <w:r w:rsidRPr="00AB0774">
              <w:t>CME Term SOFR Reference Rates</w:t>
            </w:r>
            <w:r>
              <w:t xml:space="preserve"> including predefined spreads.</w:t>
            </w:r>
          </w:p>
          <w:p w14:paraId="5A6F01D2" w14:textId="77777777" w:rsidR="00AB0774" w:rsidRDefault="00AB0774" w:rsidP="00D427E2"/>
          <w:p w14:paraId="2D052BE0" w14:textId="2A4A6FF4" w:rsidR="00D427E2" w:rsidRDefault="00D427E2" w:rsidP="00D427E2">
            <w:r>
              <w:t xml:space="preserve">Details of </w:t>
            </w:r>
            <w:r w:rsidR="00AB0774">
              <w:t>the</w:t>
            </w:r>
            <w:r>
              <w:t xml:space="preserve"> CME </w:t>
            </w:r>
            <w:r w:rsidR="00AB0774">
              <w:t xml:space="preserve">Term </w:t>
            </w:r>
            <w:r>
              <w:t xml:space="preserve">SOFR </w:t>
            </w:r>
            <w:r w:rsidR="00AB0774">
              <w:t>Reference Rates</w:t>
            </w:r>
            <w:r>
              <w:t xml:space="preserve"> and </w:t>
            </w:r>
            <w:r w:rsidR="00AB0774">
              <w:t xml:space="preserve">are available at the </w:t>
            </w:r>
            <w:hyperlink r:id="rId13" w:history="1">
              <w:r w:rsidR="00AB0774" w:rsidRPr="00AB0774">
                <w:rPr>
                  <w:rStyle w:val="Hyperlink"/>
                </w:rPr>
                <w:t>CME Term SOFR</w:t>
              </w:r>
            </w:hyperlink>
            <w:r w:rsidR="009E772F">
              <w:t xml:space="preserve"> web page</w:t>
            </w:r>
            <w:r w:rsidR="00AB0774">
              <w:t>.</w:t>
            </w:r>
          </w:p>
          <w:p w14:paraId="3A70F41C" w14:textId="77777777" w:rsidR="00D427E2" w:rsidRDefault="00D427E2" w:rsidP="00D427E2"/>
          <w:p w14:paraId="7CC1FADB" w14:textId="2D165BC6" w:rsidR="009D0B59" w:rsidRDefault="00AB0774" w:rsidP="00D427E2">
            <w:r w:rsidRPr="00AB0774">
              <w:t xml:space="preserve">CME Term SOFR Daily </w:t>
            </w:r>
            <w:r w:rsidR="007F70EA">
              <w:t>Return Indices</w:t>
            </w:r>
            <w:r w:rsidRPr="00AB0774">
              <w:t xml:space="preserve"> will be calculated for each Business Day, in accordance with the recommended SIFMA US Holiday Schedule and will </w:t>
            </w:r>
            <w:proofErr w:type="gramStart"/>
            <w:r w:rsidRPr="00AB0774">
              <w:t>utilise</w:t>
            </w:r>
            <w:proofErr w:type="gramEnd"/>
            <w:r w:rsidRPr="00AB0774">
              <w:t xml:space="preserve"> the prior business day’s published CME Term SOFR rates as input data.</w:t>
            </w:r>
          </w:p>
        </w:tc>
      </w:tr>
      <w:tr w:rsidR="009D0B59" w14:paraId="32D88A66" w14:textId="77777777" w:rsidTr="009F6360">
        <w:tc>
          <w:tcPr>
            <w:tcW w:w="1074" w:type="dxa"/>
          </w:tcPr>
          <w:p w14:paraId="760DB485" w14:textId="77777777" w:rsidR="009D0B59" w:rsidRPr="009D0B59" w:rsidRDefault="009D0B59" w:rsidP="00CC6A1F">
            <w:pPr>
              <w:rPr>
                <w:b/>
                <w:bCs/>
              </w:rPr>
            </w:pPr>
            <w:r w:rsidRPr="009D0B59">
              <w:rPr>
                <w:b/>
                <w:bCs/>
              </w:rPr>
              <w:t>(d)</w:t>
            </w:r>
          </w:p>
        </w:tc>
        <w:tc>
          <w:tcPr>
            <w:tcW w:w="4715" w:type="dxa"/>
          </w:tcPr>
          <w:p w14:paraId="06D34A0E" w14:textId="77777777" w:rsidR="009D0B59" w:rsidRPr="009D0B59" w:rsidRDefault="009D0B59" w:rsidP="00CC6A1F">
            <w:pPr>
              <w:rPr>
                <w:bCs/>
              </w:rPr>
            </w:pPr>
            <w:r w:rsidRPr="009D0B59">
              <w:rPr>
                <w:bCs/>
              </w:rPr>
              <w:t xml:space="preserve">the controls and rules that govern any exercise of judgement or discretion by the administrator or any contributors, to ensure consistency in the use of such judgement or discretion; </w:t>
            </w:r>
          </w:p>
        </w:tc>
        <w:tc>
          <w:tcPr>
            <w:tcW w:w="3945" w:type="dxa"/>
          </w:tcPr>
          <w:p w14:paraId="72CCB8C0" w14:textId="77777777" w:rsidR="009D0B59" w:rsidRPr="00D427E2" w:rsidRDefault="009D0B59" w:rsidP="00CC6A1F">
            <w:r w:rsidRPr="00D427E2">
              <w:t>N/A – The methodology does not include the use of judgement or discretion in the benchmark determination process.</w:t>
            </w:r>
          </w:p>
        </w:tc>
      </w:tr>
      <w:tr w:rsidR="009D0B59" w:rsidRPr="00577B69" w14:paraId="37B95293" w14:textId="77777777" w:rsidTr="009F6360">
        <w:tc>
          <w:tcPr>
            <w:tcW w:w="1074" w:type="dxa"/>
          </w:tcPr>
          <w:p w14:paraId="38422D38" w14:textId="77777777" w:rsidR="009D0B59" w:rsidRPr="009D0B59" w:rsidRDefault="009D0B59" w:rsidP="00CC6A1F">
            <w:pPr>
              <w:rPr>
                <w:b/>
                <w:bCs/>
              </w:rPr>
            </w:pPr>
            <w:r w:rsidRPr="009D0B59">
              <w:rPr>
                <w:b/>
                <w:bCs/>
              </w:rPr>
              <w:t>(e)</w:t>
            </w:r>
          </w:p>
        </w:tc>
        <w:tc>
          <w:tcPr>
            <w:tcW w:w="4715" w:type="dxa"/>
          </w:tcPr>
          <w:p w14:paraId="5DCD7FBB" w14:textId="77777777" w:rsidR="009D0B59" w:rsidRPr="009D0B59" w:rsidRDefault="009D0B59" w:rsidP="00CC6A1F">
            <w:pPr>
              <w:rPr>
                <w:bCs/>
              </w:rPr>
            </w:pPr>
            <w:r w:rsidRPr="009D0B59">
              <w:rPr>
                <w:bCs/>
              </w:rPr>
              <w:t>the procedures which govern the determination of the benchmark in periods of stress or periods where transaction data sources may be insufficient, inaccurate or unreliable and the potential limitations of the benchmark in such periods;</w:t>
            </w:r>
          </w:p>
        </w:tc>
        <w:tc>
          <w:tcPr>
            <w:tcW w:w="3945" w:type="dxa"/>
          </w:tcPr>
          <w:p w14:paraId="2FAA003A" w14:textId="683BD833" w:rsidR="009D0B59" w:rsidRPr="00D427E2" w:rsidRDefault="00C86509" w:rsidP="00CC6A1F">
            <w:r>
              <w:t xml:space="preserve">The </w:t>
            </w:r>
            <w:r w:rsidRPr="00AB0774">
              <w:t xml:space="preserve">CME Term SOFR Daily </w:t>
            </w:r>
            <w:r w:rsidR="007F70EA">
              <w:t>Return Indices</w:t>
            </w:r>
            <w:r>
              <w:t xml:space="preserve"> </w:t>
            </w:r>
            <w:proofErr w:type="gramStart"/>
            <w:r>
              <w:t>utilise</w:t>
            </w:r>
            <w:proofErr w:type="gramEnd"/>
            <w:r>
              <w:t xml:space="preserve"> the CME Term SOFR Reference Rates as input data. The benchmark will </w:t>
            </w:r>
            <w:proofErr w:type="gramStart"/>
            <w:r>
              <w:t>be published</w:t>
            </w:r>
            <w:proofErr w:type="gramEnd"/>
            <w:r>
              <w:t xml:space="preserve"> each </w:t>
            </w:r>
            <w:r w:rsidRPr="00AB0774">
              <w:t>Business Day, in accordance with the recommended SIFMA US Holiday Schedule</w:t>
            </w:r>
            <w:r>
              <w:t xml:space="preserve">. </w:t>
            </w:r>
          </w:p>
          <w:p w14:paraId="27D77C00" w14:textId="77777777" w:rsidR="009D0B59" w:rsidRPr="00D427E2" w:rsidRDefault="009D0B59" w:rsidP="00CC6A1F"/>
          <w:p w14:paraId="10BCD80E" w14:textId="2F8922B4" w:rsidR="009D0B59" w:rsidRPr="000E4203" w:rsidRDefault="00C86509" w:rsidP="00C86509">
            <w:pPr>
              <w:pStyle w:val="BodyText"/>
              <w:rPr>
                <w:rFonts w:asciiTheme="minorHAnsi" w:hAnsiTheme="minorHAnsi" w:cstheme="minorBidi"/>
                <w:color w:val="auto"/>
                <w:szCs w:val="22"/>
              </w:rPr>
            </w:pPr>
            <w:r w:rsidRPr="00C86509">
              <w:rPr>
                <w:rFonts w:asciiTheme="minorHAnsi" w:hAnsiTheme="minorHAnsi" w:cstheme="minorBidi"/>
                <w:color w:val="auto"/>
                <w:szCs w:val="22"/>
              </w:rPr>
              <w:t xml:space="preserve">CBA may, with notification to the market, choose not to publish the CME Term SOFR Daily </w:t>
            </w:r>
            <w:r w:rsidR="007F70EA">
              <w:rPr>
                <w:rFonts w:asciiTheme="minorHAnsi" w:hAnsiTheme="minorHAnsi" w:cstheme="minorBidi"/>
                <w:color w:val="auto"/>
                <w:szCs w:val="22"/>
              </w:rPr>
              <w:t>Return Indices</w:t>
            </w:r>
            <w:r w:rsidRPr="00C86509">
              <w:rPr>
                <w:rFonts w:asciiTheme="minorHAnsi" w:hAnsiTheme="minorHAnsi" w:cstheme="minorBidi"/>
                <w:color w:val="auto"/>
                <w:szCs w:val="22"/>
              </w:rPr>
              <w:t xml:space="preserve"> on any given business day.</w:t>
            </w:r>
          </w:p>
        </w:tc>
      </w:tr>
      <w:tr w:rsidR="009D0B59" w:rsidRPr="00AE542E" w14:paraId="5AA88A43" w14:textId="77777777" w:rsidTr="009F6360">
        <w:tc>
          <w:tcPr>
            <w:tcW w:w="1074" w:type="dxa"/>
          </w:tcPr>
          <w:p w14:paraId="5BA1A1CD" w14:textId="77777777" w:rsidR="009D0B59" w:rsidRPr="009D0B59" w:rsidRDefault="009D0B59" w:rsidP="00CC6A1F">
            <w:pPr>
              <w:rPr>
                <w:b/>
                <w:bCs/>
              </w:rPr>
            </w:pPr>
            <w:r w:rsidRPr="009D0B59">
              <w:rPr>
                <w:b/>
                <w:bCs/>
              </w:rPr>
              <w:t>(f)</w:t>
            </w:r>
          </w:p>
        </w:tc>
        <w:tc>
          <w:tcPr>
            <w:tcW w:w="4715" w:type="dxa"/>
          </w:tcPr>
          <w:p w14:paraId="62C90B7D" w14:textId="77777777" w:rsidR="009D0B59" w:rsidRPr="00D427E2" w:rsidRDefault="009D0B59" w:rsidP="00CC6A1F">
            <w:pPr>
              <w:rPr>
                <w:bCs/>
              </w:rPr>
            </w:pPr>
            <w:r w:rsidRPr="00D427E2">
              <w:rPr>
                <w:bCs/>
              </w:rPr>
              <w:t xml:space="preserve">the procedures for dealing with errors in input data or in the determination of the benchmark, including when a redetermination of the benchmark </w:t>
            </w:r>
            <w:proofErr w:type="gramStart"/>
            <w:r w:rsidRPr="00D427E2">
              <w:rPr>
                <w:bCs/>
              </w:rPr>
              <w:t>is required</w:t>
            </w:r>
            <w:proofErr w:type="gramEnd"/>
            <w:r w:rsidRPr="00D427E2">
              <w:rPr>
                <w:bCs/>
              </w:rPr>
              <w:t>; and</w:t>
            </w:r>
          </w:p>
        </w:tc>
        <w:tc>
          <w:tcPr>
            <w:tcW w:w="3945" w:type="dxa"/>
          </w:tcPr>
          <w:p w14:paraId="2D22A447" w14:textId="77777777" w:rsidR="00397345" w:rsidRDefault="009D0B59" w:rsidP="00CC6A1F">
            <w:r w:rsidRPr="00BD5AD2">
              <w:t xml:space="preserve">The Administrator has in place operating procedures to ensure the integrity of input data and prompt correction of calculation errors, including re-publication of the Benchmark. </w:t>
            </w:r>
          </w:p>
          <w:p w14:paraId="4D8B10A5" w14:textId="77777777" w:rsidR="00397345" w:rsidRDefault="00397345" w:rsidP="00CC6A1F"/>
          <w:p w14:paraId="7AD15C2E" w14:textId="4C4114AC" w:rsidR="009D0B59" w:rsidRDefault="00397345" w:rsidP="00CC6A1F">
            <w:r w:rsidRPr="00397345">
              <w:t xml:space="preserve">If an error </w:t>
            </w:r>
            <w:proofErr w:type="gramStart"/>
            <w:r w:rsidRPr="00397345">
              <w:t>is not resolved</w:t>
            </w:r>
            <w:proofErr w:type="gramEnd"/>
            <w:r w:rsidRPr="00397345">
              <w:t xml:space="preserve"> before index calculation and publication, or if input data is revised retrospectively, a decision will need to be made whether to restate the CME Term SOFR Daily </w:t>
            </w:r>
            <w:r w:rsidR="007F70EA">
              <w:t>Return Indices</w:t>
            </w:r>
            <w:r w:rsidRPr="00397345">
              <w:t xml:space="preserve">. Restatement decisions are based on the materiality of the </w:t>
            </w:r>
            <w:proofErr w:type="gramStart"/>
            <w:r w:rsidRPr="00397345">
              <w:t>error</w:t>
            </w:r>
            <w:proofErr w:type="gramEnd"/>
            <w:r w:rsidRPr="00397345">
              <w:t xml:space="preserve"> which is determined based on all relevant factors, including the number of indices affected, the time </w:t>
            </w:r>
            <w:r w:rsidRPr="00397345">
              <w:lastRenderedPageBreak/>
              <w:t xml:space="preserve">between publication and when the error is detected,  the size of the deviation between published and updated index levels, the data processing impact on clients and vendors, and general market conditions. Not all factors need to be present to warrant a restatement and </w:t>
            </w:r>
            <w:proofErr w:type="gramStart"/>
            <w:r w:rsidRPr="00397345">
              <w:t>some</w:t>
            </w:r>
            <w:proofErr w:type="gramEnd"/>
            <w:r w:rsidRPr="00397345">
              <w:t xml:space="preserve"> may be more determinative than others depending on the circumstances.</w:t>
            </w:r>
          </w:p>
          <w:p w14:paraId="05085B5E" w14:textId="77777777" w:rsidR="00005BCB" w:rsidRDefault="00005BCB" w:rsidP="00CC6A1F"/>
          <w:p w14:paraId="55CAA854" w14:textId="6DD0E3EA" w:rsidR="00005BCB" w:rsidRPr="00BD5AD2" w:rsidRDefault="00005BCB" w:rsidP="00CC6A1F">
            <w:r>
              <w:t xml:space="preserve">The Administrator will notify clients of instances where a re-publication is required, including via the publication of a notice to the </w:t>
            </w:r>
            <w:hyperlink r:id="rId14" w:history="1">
              <w:r w:rsidRPr="00005BCB">
                <w:rPr>
                  <w:rStyle w:val="Hyperlink"/>
                </w:rPr>
                <w:t>CME Website</w:t>
              </w:r>
            </w:hyperlink>
            <w:r>
              <w:t>.</w:t>
            </w:r>
          </w:p>
        </w:tc>
      </w:tr>
      <w:tr w:rsidR="009D0B59" w:rsidRPr="00B45748" w14:paraId="49FD87F0" w14:textId="77777777" w:rsidTr="009F6360">
        <w:tc>
          <w:tcPr>
            <w:tcW w:w="1074" w:type="dxa"/>
          </w:tcPr>
          <w:p w14:paraId="0ECD0DD3" w14:textId="77777777" w:rsidR="009D0B59" w:rsidRPr="009D0B59" w:rsidRDefault="009D0B59" w:rsidP="00CC6A1F">
            <w:pPr>
              <w:rPr>
                <w:b/>
                <w:bCs/>
              </w:rPr>
            </w:pPr>
            <w:r w:rsidRPr="009D0B59">
              <w:rPr>
                <w:b/>
                <w:bCs/>
              </w:rPr>
              <w:lastRenderedPageBreak/>
              <w:t>(g)</w:t>
            </w:r>
          </w:p>
        </w:tc>
        <w:tc>
          <w:tcPr>
            <w:tcW w:w="4715" w:type="dxa"/>
          </w:tcPr>
          <w:p w14:paraId="6B981730" w14:textId="77777777" w:rsidR="009D0B59" w:rsidRPr="009D0B59" w:rsidRDefault="009D0B59" w:rsidP="00CC6A1F">
            <w:pPr>
              <w:rPr>
                <w:bCs/>
              </w:rPr>
            </w:pPr>
            <w:r w:rsidRPr="009D0B59">
              <w:rPr>
                <w:bCs/>
              </w:rPr>
              <w:t>the identification of potential limitations of the benchmark, including its operation in illiquid or fragmented markets and the possible concentration of inputs.</w:t>
            </w:r>
          </w:p>
        </w:tc>
        <w:tc>
          <w:tcPr>
            <w:tcW w:w="3945" w:type="dxa"/>
          </w:tcPr>
          <w:p w14:paraId="040B8BC4" w14:textId="11F807AB" w:rsidR="009D0B59" w:rsidRPr="00BD5AD2" w:rsidRDefault="00C86509" w:rsidP="00BD5AD2">
            <w:r>
              <w:t xml:space="preserve">The calculation of the CME Term SOFR Daily </w:t>
            </w:r>
            <w:r w:rsidR="007F70EA">
              <w:t>Return Indices</w:t>
            </w:r>
            <w:r>
              <w:t xml:space="preserve"> </w:t>
            </w:r>
            <w:proofErr w:type="gramStart"/>
            <w:r>
              <w:t>utilise</w:t>
            </w:r>
            <w:proofErr w:type="gramEnd"/>
            <w:r>
              <w:t xml:space="preserve"> CME Term SOFR as input data. </w:t>
            </w:r>
            <w:r w:rsidR="00E8017F">
              <w:t>The administrator monitors the CME Term SOFR Benchmark and the SOFR Futures market</w:t>
            </w:r>
            <w:r w:rsidR="005459FF">
              <w:t>.</w:t>
            </w:r>
          </w:p>
        </w:tc>
      </w:tr>
      <w:tr w:rsidR="009D0B59" w:rsidRPr="00225D48" w14:paraId="6F9A49A3" w14:textId="77777777" w:rsidTr="009F6360">
        <w:tc>
          <w:tcPr>
            <w:tcW w:w="1074" w:type="dxa"/>
          </w:tcPr>
          <w:p w14:paraId="1E54E2B3" w14:textId="77777777" w:rsidR="009D0B59" w:rsidRPr="009D0B59" w:rsidRDefault="009D0B59" w:rsidP="00CC6A1F">
            <w:pPr>
              <w:rPr>
                <w:b/>
                <w:bCs/>
              </w:rPr>
            </w:pPr>
            <w:r w:rsidRPr="009D0B59">
              <w:rPr>
                <w:b/>
                <w:bCs/>
              </w:rPr>
              <w:t>RTS 1(1)</w:t>
            </w:r>
          </w:p>
        </w:tc>
        <w:tc>
          <w:tcPr>
            <w:tcW w:w="8660" w:type="dxa"/>
            <w:gridSpan w:val="2"/>
          </w:tcPr>
          <w:p w14:paraId="39899EB5" w14:textId="77777777" w:rsidR="009D0B59" w:rsidRPr="009D0B59" w:rsidRDefault="009D0B59" w:rsidP="00CC6A1F">
            <w:pPr>
              <w:rPr>
                <w:bCs/>
              </w:rPr>
            </w:pPr>
            <w:r w:rsidRPr="009D0B59">
              <w:rPr>
                <w:bCs/>
              </w:rPr>
              <w:t>The benchmark statement shall state:</w:t>
            </w:r>
          </w:p>
        </w:tc>
      </w:tr>
      <w:tr w:rsidR="009D0B59" w:rsidRPr="00577B69" w14:paraId="450BE858" w14:textId="77777777" w:rsidTr="009F6360">
        <w:tc>
          <w:tcPr>
            <w:tcW w:w="1074" w:type="dxa"/>
          </w:tcPr>
          <w:p w14:paraId="0D07E1C9" w14:textId="77777777" w:rsidR="009D0B59" w:rsidRPr="009D0B59" w:rsidRDefault="009D0B59" w:rsidP="00CC6A1F">
            <w:pPr>
              <w:rPr>
                <w:b/>
                <w:bCs/>
              </w:rPr>
            </w:pPr>
            <w:r w:rsidRPr="009D0B59">
              <w:rPr>
                <w:b/>
                <w:bCs/>
              </w:rPr>
              <w:t>(a)</w:t>
            </w:r>
          </w:p>
        </w:tc>
        <w:tc>
          <w:tcPr>
            <w:tcW w:w="4715" w:type="dxa"/>
          </w:tcPr>
          <w:p w14:paraId="026DA155" w14:textId="77777777" w:rsidR="009D0B59" w:rsidRPr="009D0B59" w:rsidRDefault="009D0B59" w:rsidP="00CC6A1F">
            <w:pPr>
              <w:rPr>
                <w:bCs/>
              </w:rPr>
            </w:pPr>
            <w:r w:rsidRPr="009D0B59">
              <w:rPr>
                <w:bCs/>
              </w:rPr>
              <w:t>the date of publication of the statement and, where applicable, the date of its last update;</w:t>
            </w:r>
          </w:p>
        </w:tc>
        <w:tc>
          <w:tcPr>
            <w:tcW w:w="3945" w:type="dxa"/>
          </w:tcPr>
          <w:p w14:paraId="42D2EE07" w14:textId="77777777" w:rsidR="009D0B59" w:rsidRDefault="009D0B59" w:rsidP="00CC6A1F">
            <w:r w:rsidRPr="00577B69">
              <w:t>Please see the beginning of this document</w:t>
            </w:r>
            <w:r>
              <w:t xml:space="preserve"> for the date of publication and last update.</w:t>
            </w:r>
          </w:p>
          <w:p w14:paraId="31026C92" w14:textId="77777777" w:rsidR="009D0B59" w:rsidRPr="00577B69" w:rsidRDefault="009D0B59" w:rsidP="00CC6A1F">
            <w:pPr>
              <w:rPr>
                <w:highlight w:val="yellow"/>
              </w:rPr>
            </w:pPr>
          </w:p>
        </w:tc>
      </w:tr>
      <w:tr w:rsidR="009D0B59" w14:paraId="2E2D0DAD" w14:textId="77777777" w:rsidTr="009F6360">
        <w:tc>
          <w:tcPr>
            <w:tcW w:w="1074" w:type="dxa"/>
          </w:tcPr>
          <w:p w14:paraId="74DD407F" w14:textId="77777777" w:rsidR="009D0B59" w:rsidRPr="009D0B59" w:rsidRDefault="009D0B59" w:rsidP="00CC6A1F">
            <w:pPr>
              <w:rPr>
                <w:b/>
                <w:bCs/>
              </w:rPr>
            </w:pPr>
            <w:r w:rsidRPr="009D0B59">
              <w:rPr>
                <w:b/>
                <w:bCs/>
              </w:rPr>
              <w:t>(b)</w:t>
            </w:r>
          </w:p>
        </w:tc>
        <w:tc>
          <w:tcPr>
            <w:tcW w:w="4715" w:type="dxa"/>
          </w:tcPr>
          <w:p w14:paraId="670041BE" w14:textId="77777777" w:rsidR="009D0B59" w:rsidRPr="009D0B59" w:rsidRDefault="009D0B59" w:rsidP="00CC6A1F">
            <w:pPr>
              <w:rPr>
                <w:bCs/>
              </w:rPr>
            </w:pPr>
            <w:r w:rsidRPr="009D0B59">
              <w:rPr>
                <w:bCs/>
              </w:rPr>
              <w:t>where available, the international securities identification number (ISIN) of the benchmark or benchmarks; alternatively, for a family of benchmarks, the statement may provide details of where the ISINs are publicly accessible free of charge;</w:t>
            </w:r>
          </w:p>
        </w:tc>
        <w:tc>
          <w:tcPr>
            <w:tcW w:w="3945" w:type="dxa"/>
          </w:tcPr>
          <w:p w14:paraId="0FE70EBC" w14:textId="77777777" w:rsidR="009D0B59" w:rsidRDefault="009D0B59" w:rsidP="00CC6A1F">
            <w:r>
              <w:t>Not applicable to these Benchmarks</w:t>
            </w:r>
          </w:p>
        </w:tc>
      </w:tr>
      <w:tr w:rsidR="009D0B59" w14:paraId="5817FE21" w14:textId="77777777" w:rsidTr="009F6360">
        <w:trPr>
          <w:trHeight w:val="1592"/>
        </w:trPr>
        <w:tc>
          <w:tcPr>
            <w:tcW w:w="1074" w:type="dxa"/>
          </w:tcPr>
          <w:p w14:paraId="1172755A" w14:textId="77777777" w:rsidR="009D0B59" w:rsidRPr="009D0B59" w:rsidRDefault="009D0B59" w:rsidP="00CC6A1F">
            <w:pPr>
              <w:rPr>
                <w:b/>
                <w:bCs/>
              </w:rPr>
            </w:pPr>
            <w:r w:rsidRPr="009D0B59">
              <w:rPr>
                <w:b/>
                <w:bCs/>
              </w:rPr>
              <w:t>(c)</w:t>
            </w:r>
          </w:p>
        </w:tc>
        <w:tc>
          <w:tcPr>
            <w:tcW w:w="4715" w:type="dxa"/>
          </w:tcPr>
          <w:p w14:paraId="6F0CA674" w14:textId="77777777" w:rsidR="009D0B59" w:rsidRPr="009D0B59" w:rsidRDefault="009D0B59" w:rsidP="00CC6A1F">
            <w:pPr>
              <w:rPr>
                <w:bCs/>
              </w:rPr>
            </w:pPr>
            <w:r w:rsidRPr="009D0B59">
              <w:rPr>
                <w:bCs/>
              </w:rPr>
              <w:t>whether the benchmark, or any benchmark in the family of benchmarks, is determined using contributions of input data;</w:t>
            </w:r>
          </w:p>
        </w:tc>
        <w:tc>
          <w:tcPr>
            <w:tcW w:w="3945" w:type="dxa"/>
          </w:tcPr>
          <w:p w14:paraId="535AA926" w14:textId="77777777" w:rsidR="009D0B59" w:rsidRDefault="009D0B59" w:rsidP="00CC6A1F">
            <w:r>
              <w:t>The Benchmarks are not determined using contributions of input data.</w:t>
            </w:r>
          </w:p>
        </w:tc>
      </w:tr>
      <w:tr w:rsidR="009D0B59" w:rsidRPr="00AE542E" w14:paraId="35E996D3" w14:textId="77777777" w:rsidTr="009F6360">
        <w:tc>
          <w:tcPr>
            <w:tcW w:w="1074" w:type="dxa"/>
          </w:tcPr>
          <w:p w14:paraId="2B7D2456" w14:textId="77777777" w:rsidR="009D0B59" w:rsidRPr="009D0B59" w:rsidRDefault="009D0B59" w:rsidP="00CC6A1F">
            <w:pPr>
              <w:rPr>
                <w:b/>
                <w:bCs/>
              </w:rPr>
            </w:pPr>
            <w:r w:rsidRPr="009D0B59">
              <w:rPr>
                <w:b/>
                <w:bCs/>
              </w:rPr>
              <w:t>(d)</w:t>
            </w:r>
          </w:p>
        </w:tc>
        <w:tc>
          <w:tcPr>
            <w:tcW w:w="4715" w:type="dxa"/>
          </w:tcPr>
          <w:p w14:paraId="7AE7C3BE" w14:textId="77777777" w:rsidR="009D0B59" w:rsidRPr="009D0B59" w:rsidRDefault="009D0B59" w:rsidP="00CC6A1F">
            <w:pPr>
              <w:rPr>
                <w:bCs/>
              </w:rPr>
            </w:pPr>
            <w:r w:rsidRPr="009D0B59">
              <w:rPr>
                <w:bCs/>
              </w:rPr>
              <w:t xml:space="preserve">whether the benchmark or any benchmark in the family of benchmarks qualifies as one of the types of benchmarks listed under Title III </w:t>
            </w:r>
            <w:r w:rsidR="00BD5AD2">
              <w:rPr>
                <w:bCs/>
              </w:rPr>
              <w:t>BMR</w:t>
            </w:r>
            <w:r w:rsidRPr="009D0B59">
              <w:rPr>
                <w:bCs/>
              </w:rPr>
              <w:t>, including the specific provision by virtue of which the benchmark qualifies as that type.</w:t>
            </w:r>
          </w:p>
        </w:tc>
        <w:tc>
          <w:tcPr>
            <w:tcW w:w="3945" w:type="dxa"/>
          </w:tcPr>
          <w:p w14:paraId="284D3B53" w14:textId="27A586BF" w:rsidR="009D0B59" w:rsidRPr="00AE542E" w:rsidRDefault="00BD5AD2" w:rsidP="00CC6A1F">
            <w:r>
              <w:t xml:space="preserve">The CME </w:t>
            </w:r>
            <w:r w:rsidR="00920842">
              <w:t xml:space="preserve">Term SOFR Daily </w:t>
            </w:r>
            <w:r w:rsidR="007F70EA">
              <w:t>Return Indices</w:t>
            </w:r>
            <w:r w:rsidR="00920842">
              <w:t xml:space="preserve"> </w:t>
            </w:r>
            <w:r w:rsidR="007F70EA">
              <w:t>are</w:t>
            </w:r>
            <w:r w:rsidR="00920842">
              <w:t xml:space="preserve"> Fixed Income benchmark</w:t>
            </w:r>
            <w:r w:rsidR="007F70EA">
              <w:t>s</w:t>
            </w:r>
            <w:r w:rsidR="00920842">
              <w:t xml:space="preserve"> and </w:t>
            </w:r>
            <w:proofErr w:type="gramStart"/>
            <w:r w:rsidR="007F70EA">
              <w:t>are</w:t>
            </w:r>
            <w:r w:rsidR="00920842">
              <w:t xml:space="preserve"> not classified</w:t>
            </w:r>
            <w:proofErr w:type="gramEnd"/>
            <w:r w:rsidR="00920842">
              <w:t xml:space="preserve"> as </w:t>
            </w:r>
            <w:r>
              <w:t>interest rate benchmark</w:t>
            </w:r>
            <w:r w:rsidR="007F70EA">
              <w:t>s</w:t>
            </w:r>
            <w:r>
              <w:t xml:space="preserve"> in accordance with Article 18 of the BMR (Title III, Chapter 2). </w:t>
            </w:r>
          </w:p>
        </w:tc>
      </w:tr>
      <w:tr w:rsidR="009D0B59" w14:paraId="7DAF6C19" w14:textId="77777777" w:rsidTr="009F6360">
        <w:tc>
          <w:tcPr>
            <w:tcW w:w="1074" w:type="dxa"/>
          </w:tcPr>
          <w:p w14:paraId="5D4BF4EB" w14:textId="77777777" w:rsidR="009D0B59" w:rsidRPr="009D0B59" w:rsidRDefault="009D0B59" w:rsidP="00CC6A1F">
            <w:pPr>
              <w:rPr>
                <w:b/>
                <w:bCs/>
              </w:rPr>
            </w:pPr>
            <w:r w:rsidRPr="009D0B59">
              <w:rPr>
                <w:b/>
                <w:bCs/>
              </w:rPr>
              <w:t>RTS 1(2)</w:t>
            </w:r>
          </w:p>
        </w:tc>
        <w:tc>
          <w:tcPr>
            <w:tcW w:w="8660" w:type="dxa"/>
            <w:gridSpan w:val="2"/>
          </w:tcPr>
          <w:p w14:paraId="45FFB429" w14:textId="77777777" w:rsidR="009D0B59" w:rsidRPr="009D0B59" w:rsidRDefault="009D0B59" w:rsidP="00CC6A1F">
            <w:pPr>
              <w:rPr>
                <w:bCs/>
              </w:rPr>
            </w:pPr>
            <w:r w:rsidRPr="009D0B59">
              <w:rPr>
                <w:bCs/>
              </w:rPr>
              <w:t>In defining the market or economic reality, the benchmark statement shall include at least the following information:</w:t>
            </w:r>
          </w:p>
        </w:tc>
      </w:tr>
      <w:tr w:rsidR="009D0B59" w14:paraId="3A3F688F" w14:textId="77777777" w:rsidTr="009F6360">
        <w:tc>
          <w:tcPr>
            <w:tcW w:w="1074" w:type="dxa"/>
          </w:tcPr>
          <w:p w14:paraId="4DD2E7CD" w14:textId="77777777" w:rsidR="009D0B59" w:rsidRPr="009D0B59" w:rsidRDefault="009D0B59" w:rsidP="00CC6A1F">
            <w:pPr>
              <w:rPr>
                <w:b/>
                <w:bCs/>
              </w:rPr>
            </w:pPr>
            <w:r w:rsidRPr="009D0B59">
              <w:rPr>
                <w:b/>
                <w:bCs/>
              </w:rPr>
              <w:t>(a)</w:t>
            </w:r>
          </w:p>
        </w:tc>
        <w:tc>
          <w:tcPr>
            <w:tcW w:w="4715" w:type="dxa"/>
          </w:tcPr>
          <w:p w14:paraId="2F1392E4" w14:textId="77777777" w:rsidR="009D0B59" w:rsidRPr="009D0B59" w:rsidRDefault="009D0B59" w:rsidP="00CC6A1F">
            <w:pPr>
              <w:rPr>
                <w:bCs/>
              </w:rPr>
            </w:pPr>
            <w:r w:rsidRPr="009D0B59">
              <w:rPr>
                <w:bCs/>
              </w:rPr>
              <w:t>a general description of the market or economic reality;</w:t>
            </w:r>
          </w:p>
        </w:tc>
        <w:tc>
          <w:tcPr>
            <w:tcW w:w="3945" w:type="dxa"/>
          </w:tcPr>
          <w:p w14:paraId="500E393F" w14:textId="663135C7" w:rsidR="00920842" w:rsidRDefault="00920842" w:rsidP="00920842">
            <w:r w:rsidRPr="008F1A7B">
              <w:t xml:space="preserve">The CME Term SOFR Daily </w:t>
            </w:r>
            <w:r w:rsidR="007F70EA">
              <w:t>Return Indices are</w:t>
            </w:r>
            <w:r w:rsidRPr="008F1A7B">
              <w:t xml:space="preserve"> a set of benchmarks, designed to represent the daily compound return for each of the CME Term SOFR reference rates. The CME Term SOFR Daily </w:t>
            </w:r>
            <w:r w:rsidR="007F70EA">
              <w:t xml:space="preserve">Return Indices </w:t>
            </w:r>
            <w:proofErr w:type="gramStart"/>
            <w:r w:rsidR="007F70EA">
              <w:t>are</w:t>
            </w:r>
            <w:r w:rsidRPr="008F1A7B">
              <w:t xml:space="preserve"> calculated</w:t>
            </w:r>
            <w:proofErr w:type="gramEnd"/>
            <w:r w:rsidRPr="008F1A7B">
              <w:t xml:space="preserve"> and published for 1-month, 3-month, 6-month and 12-month Term SOFR Rates. </w:t>
            </w:r>
          </w:p>
          <w:p w14:paraId="4D8D2132" w14:textId="74AA9B21" w:rsidR="009D0B59" w:rsidRDefault="009D0B59" w:rsidP="00CC6A1F">
            <w:pPr>
              <w:tabs>
                <w:tab w:val="left" w:pos="1065"/>
                <w:tab w:val="center" w:pos="2160"/>
              </w:tabs>
            </w:pPr>
          </w:p>
        </w:tc>
      </w:tr>
      <w:tr w:rsidR="009D0B59" w14:paraId="02A75B4A" w14:textId="77777777" w:rsidTr="009F6360">
        <w:tc>
          <w:tcPr>
            <w:tcW w:w="1074" w:type="dxa"/>
          </w:tcPr>
          <w:p w14:paraId="2D9B1748" w14:textId="77777777" w:rsidR="009D0B59" w:rsidRPr="009D0B59" w:rsidRDefault="009D0B59" w:rsidP="00CC6A1F">
            <w:pPr>
              <w:rPr>
                <w:b/>
                <w:bCs/>
              </w:rPr>
            </w:pPr>
            <w:r w:rsidRPr="009D0B59">
              <w:rPr>
                <w:b/>
                <w:bCs/>
              </w:rPr>
              <w:lastRenderedPageBreak/>
              <w:t>(b)</w:t>
            </w:r>
          </w:p>
        </w:tc>
        <w:tc>
          <w:tcPr>
            <w:tcW w:w="4715" w:type="dxa"/>
          </w:tcPr>
          <w:p w14:paraId="31D8FD20" w14:textId="77777777" w:rsidR="009D0B59" w:rsidRPr="009D0B59" w:rsidRDefault="009D0B59" w:rsidP="00CC6A1F">
            <w:pPr>
              <w:rPr>
                <w:bCs/>
              </w:rPr>
            </w:pPr>
            <w:r w:rsidRPr="009D0B59">
              <w:rPr>
                <w:bCs/>
              </w:rPr>
              <w:t>the geographical boundaries, if any, of the market or economic reality;</w:t>
            </w:r>
          </w:p>
        </w:tc>
        <w:tc>
          <w:tcPr>
            <w:tcW w:w="3945" w:type="dxa"/>
          </w:tcPr>
          <w:p w14:paraId="23D7AED3" w14:textId="6E283D21" w:rsidR="00BD5AD2" w:rsidRDefault="00920842" w:rsidP="00BD5AD2">
            <w:r w:rsidRPr="008F1A7B">
              <w:t xml:space="preserve">The CME Term SOFR Daily </w:t>
            </w:r>
            <w:r w:rsidR="007F70EA">
              <w:t>Return Indices</w:t>
            </w:r>
            <w:r w:rsidRPr="008F1A7B">
              <w:t xml:space="preserve"> </w:t>
            </w:r>
            <w:proofErr w:type="gramStart"/>
            <w:r>
              <w:t>utilise</w:t>
            </w:r>
            <w:proofErr w:type="gramEnd"/>
            <w:r>
              <w:t xml:space="preserve"> the </w:t>
            </w:r>
            <w:r w:rsidRPr="00BD5AD2">
              <w:t>CME Term SOFR Reference</w:t>
            </w:r>
            <w:r>
              <w:t xml:space="preserve"> </w:t>
            </w:r>
            <w:r w:rsidRPr="00BD5AD2">
              <w:t xml:space="preserve">Rates </w:t>
            </w:r>
            <w:r>
              <w:t xml:space="preserve">as input data which </w:t>
            </w:r>
            <w:r w:rsidRPr="00BD5AD2">
              <w:t>provide forward-looking estimates of overnight SOFR</w:t>
            </w:r>
            <w:r>
              <w:t xml:space="preserve"> </w:t>
            </w:r>
            <w:r w:rsidRPr="00BD5AD2">
              <w:t xml:space="preserve">calculated and published by the Federal Reserve Bank of New York . </w:t>
            </w:r>
          </w:p>
          <w:p w14:paraId="151B19AE" w14:textId="77777777" w:rsidR="00920842" w:rsidRPr="00BD5AD2" w:rsidRDefault="00920842" w:rsidP="00BD5AD2"/>
          <w:p w14:paraId="245A9983" w14:textId="2F0736E6" w:rsidR="00BD5AD2" w:rsidRDefault="00BD5AD2" w:rsidP="00BD5AD2">
            <w:r w:rsidRPr="00BD5AD2">
              <w:t xml:space="preserve">The Secured Overnight Financing Rate (SOFR) </w:t>
            </w:r>
            <w:proofErr w:type="gramStart"/>
            <w:r w:rsidRPr="00BD5AD2">
              <w:t>is calculated</w:t>
            </w:r>
            <w:proofErr w:type="gramEnd"/>
            <w:r w:rsidRPr="00BD5AD2">
              <w:t xml:space="preserve"> and published by the Federal Reserve Bank of New York  (NY Fed). </w:t>
            </w:r>
          </w:p>
          <w:p w14:paraId="42C00DA8" w14:textId="77777777" w:rsidR="00BD5AD2" w:rsidRPr="00BD5AD2" w:rsidRDefault="00BD5AD2" w:rsidP="00BD5AD2"/>
          <w:p w14:paraId="5CD8C26B" w14:textId="77777777" w:rsidR="009D0B59" w:rsidRDefault="00BD5AD2" w:rsidP="00BD5AD2">
            <w:r w:rsidRPr="00BD5AD2">
              <w:t>The use of US Dollars stretches globally and consequently the use of the Benchmark has no geographical limitations.</w:t>
            </w:r>
          </w:p>
        </w:tc>
      </w:tr>
      <w:tr w:rsidR="009D0B59" w:rsidRPr="00CC0860" w14:paraId="1155D7C4" w14:textId="77777777" w:rsidTr="009F6360">
        <w:tc>
          <w:tcPr>
            <w:tcW w:w="1074" w:type="dxa"/>
          </w:tcPr>
          <w:p w14:paraId="6965E63E" w14:textId="77777777" w:rsidR="009D0B59" w:rsidRPr="009D0B59" w:rsidRDefault="009D0B59" w:rsidP="00CC6A1F">
            <w:pPr>
              <w:rPr>
                <w:b/>
                <w:bCs/>
              </w:rPr>
            </w:pPr>
            <w:r w:rsidRPr="009D0B59">
              <w:rPr>
                <w:b/>
                <w:bCs/>
              </w:rPr>
              <w:t>(c)</w:t>
            </w:r>
          </w:p>
        </w:tc>
        <w:tc>
          <w:tcPr>
            <w:tcW w:w="4715" w:type="dxa"/>
          </w:tcPr>
          <w:p w14:paraId="053ED9DB" w14:textId="62B61626" w:rsidR="00920842" w:rsidRPr="00BD5AD2" w:rsidRDefault="009D0B59" w:rsidP="00920842">
            <w:pPr>
              <w:rPr>
                <w:bCs/>
              </w:rPr>
            </w:pPr>
            <w:r w:rsidRPr="00BD5AD2">
              <w:rPr>
                <w:bCs/>
              </w:rPr>
              <w:t xml:space="preserve">any other information that the administrator </w:t>
            </w:r>
            <w:proofErr w:type="gramStart"/>
            <w:r w:rsidRPr="00BD5AD2">
              <w:rPr>
                <w:bCs/>
              </w:rPr>
              <w:t>reasonably considers</w:t>
            </w:r>
            <w:proofErr w:type="gramEnd"/>
            <w:r w:rsidRPr="00BD5AD2">
              <w:rPr>
                <w:bCs/>
              </w:rPr>
              <w:t xml:space="preserve"> to be relevant or useful to help users or potential users of the benchmark to understand the relevant features of the market or economic reality</w:t>
            </w:r>
            <w:r w:rsidR="00920842">
              <w:rPr>
                <w:bCs/>
              </w:rPr>
              <w:t>.</w:t>
            </w:r>
          </w:p>
          <w:p w14:paraId="2886B592" w14:textId="11FF4727" w:rsidR="009D0B59" w:rsidRPr="00BD5AD2" w:rsidRDefault="009D0B59" w:rsidP="00CC6A1F">
            <w:pPr>
              <w:rPr>
                <w:bCs/>
              </w:rPr>
            </w:pPr>
          </w:p>
        </w:tc>
        <w:tc>
          <w:tcPr>
            <w:tcW w:w="3945" w:type="dxa"/>
          </w:tcPr>
          <w:p w14:paraId="53C6EBED" w14:textId="1942D451" w:rsidR="009D0B59" w:rsidRPr="00920842" w:rsidRDefault="00920842" w:rsidP="00BD5AD2">
            <w:r>
              <w:t xml:space="preserve">The </w:t>
            </w:r>
            <w:r w:rsidRPr="008F1A7B">
              <w:t xml:space="preserve">CME Term SOFR Daily </w:t>
            </w:r>
            <w:r w:rsidR="007F70EA">
              <w:t>Return Indices</w:t>
            </w:r>
            <w:r>
              <w:t xml:space="preserve"> </w:t>
            </w:r>
            <w:proofErr w:type="gramStart"/>
            <w:r>
              <w:t>utilise</w:t>
            </w:r>
            <w:proofErr w:type="gramEnd"/>
            <w:r>
              <w:t xml:space="preserve"> </w:t>
            </w:r>
            <w:r w:rsidR="009A0F0E">
              <w:rPr>
                <w:rFonts w:cstheme="minorHAnsi"/>
                <w:szCs w:val="20"/>
              </w:rPr>
              <w:t>the CME Term SOFR Reference Rates</w:t>
            </w:r>
            <w:r>
              <w:rPr>
                <w:rFonts w:cstheme="minorHAnsi"/>
                <w:szCs w:val="20"/>
              </w:rPr>
              <w:t xml:space="preserve"> as input data. The SOFR Futures market underpinning the CME Term SOFR Reference Rates</w:t>
            </w:r>
            <w:r w:rsidR="009A0F0E">
              <w:rPr>
                <w:rFonts w:cstheme="minorHAnsi"/>
                <w:szCs w:val="20"/>
              </w:rPr>
              <w:t>,</w:t>
            </w:r>
            <w:r w:rsidR="009A0F0E" w:rsidRPr="00F52BB7">
              <w:rPr>
                <w:rFonts w:cstheme="minorHAnsi"/>
                <w:szCs w:val="20"/>
              </w:rPr>
              <w:t xml:space="preserve"> has grown to above </w:t>
            </w:r>
            <w:r w:rsidR="009A0F0E">
              <w:rPr>
                <w:rFonts w:cstheme="minorHAnsi"/>
                <w:szCs w:val="20"/>
              </w:rPr>
              <w:t>1.9 million</w:t>
            </w:r>
            <w:r w:rsidR="009A0F0E" w:rsidRPr="00F52BB7">
              <w:rPr>
                <w:rFonts w:cstheme="minorHAnsi"/>
                <w:szCs w:val="20"/>
              </w:rPr>
              <w:t xml:space="preserve"> contracts (</w:t>
            </w:r>
            <w:r w:rsidR="009A0F0E">
              <w:rPr>
                <w:rFonts w:cstheme="minorHAnsi"/>
                <w:szCs w:val="20"/>
              </w:rPr>
              <w:t xml:space="preserve">over </w:t>
            </w:r>
            <w:r w:rsidR="009A0F0E" w:rsidRPr="00F52BB7">
              <w:rPr>
                <w:rFonts w:cstheme="minorHAnsi"/>
                <w:szCs w:val="20"/>
              </w:rPr>
              <w:t>$</w:t>
            </w:r>
            <w:r w:rsidR="009A0F0E">
              <w:rPr>
                <w:rFonts w:cstheme="minorHAnsi"/>
                <w:szCs w:val="20"/>
              </w:rPr>
              <w:t>2.6 trillion</w:t>
            </w:r>
            <w:r w:rsidR="009A0F0E" w:rsidRPr="00F52BB7">
              <w:rPr>
                <w:rFonts w:cstheme="minorHAnsi"/>
                <w:szCs w:val="20"/>
              </w:rPr>
              <w:t xml:space="preserve"> in notional equivalent principal value)</w:t>
            </w:r>
            <w:r w:rsidR="00BD5AD2" w:rsidRPr="00BD5AD2">
              <w:t xml:space="preserve">. </w:t>
            </w:r>
          </w:p>
        </w:tc>
      </w:tr>
      <w:tr w:rsidR="009D0B59" w14:paraId="3EFD94E1" w14:textId="77777777" w:rsidTr="009F6360">
        <w:tc>
          <w:tcPr>
            <w:tcW w:w="1074" w:type="dxa"/>
          </w:tcPr>
          <w:p w14:paraId="25432690" w14:textId="77777777" w:rsidR="009D0B59" w:rsidRPr="009D0B59" w:rsidRDefault="009D0B59" w:rsidP="00CC6A1F">
            <w:pPr>
              <w:rPr>
                <w:b/>
                <w:bCs/>
              </w:rPr>
            </w:pPr>
            <w:r w:rsidRPr="009D0B59">
              <w:rPr>
                <w:b/>
                <w:bCs/>
              </w:rPr>
              <w:t>RTS 1(3)</w:t>
            </w:r>
          </w:p>
        </w:tc>
        <w:tc>
          <w:tcPr>
            <w:tcW w:w="8660" w:type="dxa"/>
            <w:gridSpan w:val="2"/>
          </w:tcPr>
          <w:p w14:paraId="1C2B2A2C" w14:textId="77777777" w:rsidR="009D0B59" w:rsidRPr="009D0B59" w:rsidRDefault="009D0B59" w:rsidP="00CC6A1F">
            <w:pPr>
              <w:rPr>
                <w:bCs/>
              </w:rPr>
            </w:pPr>
            <w:r w:rsidRPr="009D0B59">
              <w:rPr>
                <w:bCs/>
              </w:rPr>
              <w:t>In defining the potential limitations of the benchmark and the circumstances in which the measurement of the market or economic reality may become unreliable, the benchmark statement shall include at least:</w:t>
            </w:r>
          </w:p>
        </w:tc>
      </w:tr>
      <w:tr w:rsidR="009E772F" w:rsidRPr="00CC0860" w14:paraId="632071F3" w14:textId="77777777" w:rsidTr="009F6360">
        <w:trPr>
          <w:trHeight w:val="1520"/>
        </w:trPr>
        <w:tc>
          <w:tcPr>
            <w:tcW w:w="1074" w:type="dxa"/>
          </w:tcPr>
          <w:p w14:paraId="21454CBD" w14:textId="77777777" w:rsidR="009E772F" w:rsidRPr="009D0B59" w:rsidRDefault="009E772F" w:rsidP="00CC6A1F">
            <w:pPr>
              <w:rPr>
                <w:b/>
                <w:bCs/>
              </w:rPr>
            </w:pPr>
            <w:r w:rsidRPr="009D0B59">
              <w:rPr>
                <w:b/>
                <w:bCs/>
              </w:rPr>
              <w:t>(a)</w:t>
            </w:r>
          </w:p>
        </w:tc>
        <w:tc>
          <w:tcPr>
            <w:tcW w:w="4715" w:type="dxa"/>
          </w:tcPr>
          <w:p w14:paraId="7A9DAFB2" w14:textId="77777777" w:rsidR="009E772F" w:rsidRPr="009D0B59" w:rsidRDefault="009E772F" w:rsidP="00CC6A1F">
            <w:pPr>
              <w:rPr>
                <w:bCs/>
              </w:rPr>
            </w:pPr>
            <w:r w:rsidRPr="009D0B59">
              <w:rPr>
                <w:bCs/>
              </w:rPr>
              <w:t>a description of the circumstances in which the administrator would lack sufficient input data to determine the benchmark in accordance with the methodology.</w:t>
            </w:r>
          </w:p>
        </w:tc>
        <w:tc>
          <w:tcPr>
            <w:tcW w:w="3945" w:type="dxa"/>
            <w:vMerge w:val="restart"/>
          </w:tcPr>
          <w:p w14:paraId="7DBD52DA" w14:textId="7B405E39" w:rsidR="009E772F" w:rsidRPr="009E772F" w:rsidRDefault="009E772F" w:rsidP="009E772F">
            <w:r>
              <w:t xml:space="preserve">The </w:t>
            </w:r>
            <w:r w:rsidRPr="008F1A7B">
              <w:t xml:space="preserve">CME Term SOFR Daily </w:t>
            </w:r>
            <w:r w:rsidR="007F70EA">
              <w:t xml:space="preserve">Return Indices </w:t>
            </w:r>
            <w:proofErr w:type="gramStart"/>
            <w:r w:rsidR="007F70EA">
              <w:t>utilise</w:t>
            </w:r>
            <w:proofErr w:type="gramEnd"/>
            <w:r>
              <w:t xml:space="preserve"> </w:t>
            </w:r>
            <w:r>
              <w:rPr>
                <w:rFonts w:cstheme="minorHAnsi"/>
                <w:szCs w:val="20"/>
              </w:rPr>
              <w:t xml:space="preserve">the CME Term SOFR Reference Rates as input data. </w:t>
            </w:r>
            <w:r w:rsidRPr="00BD5AD2">
              <w:t xml:space="preserve">The accuracy and reliability of the Benchmarks could no longer </w:t>
            </w:r>
            <w:proofErr w:type="gramStart"/>
            <w:r w:rsidRPr="00BD5AD2">
              <w:t>be ensured</w:t>
            </w:r>
            <w:proofErr w:type="gramEnd"/>
            <w:r w:rsidRPr="00BD5AD2">
              <w:t xml:space="preserve"> in the event of</w:t>
            </w:r>
            <w:r>
              <w:t xml:space="preserve"> the</w:t>
            </w:r>
            <w:r w:rsidRPr="00BD5AD2">
              <w:t xml:space="preserve"> </w:t>
            </w:r>
            <w:r>
              <w:t>input data being unavailable</w:t>
            </w:r>
            <w:r w:rsidRPr="00BD5AD2">
              <w:t>.</w:t>
            </w:r>
          </w:p>
        </w:tc>
      </w:tr>
      <w:tr w:rsidR="009E772F" w14:paraId="5F35CE33" w14:textId="77777777" w:rsidTr="009F6360">
        <w:tc>
          <w:tcPr>
            <w:tcW w:w="1074" w:type="dxa"/>
          </w:tcPr>
          <w:p w14:paraId="6EC061BF" w14:textId="77777777" w:rsidR="009E772F" w:rsidRPr="009D0B59" w:rsidRDefault="009E772F" w:rsidP="00BD5AD2">
            <w:pPr>
              <w:rPr>
                <w:b/>
                <w:bCs/>
              </w:rPr>
            </w:pPr>
            <w:r w:rsidRPr="009D0B59">
              <w:rPr>
                <w:b/>
                <w:bCs/>
              </w:rPr>
              <w:t>(b)</w:t>
            </w:r>
          </w:p>
        </w:tc>
        <w:tc>
          <w:tcPr>
            <w:tcW w:w="4715" w:type="dxa"/>
          </w:tcPr>
          <w:p w14:paraId="6572E0DC" w14:textId="77777777" w:rsidR="009E772F" w:rsidRPr="009D0B59" w:rsidRDefault="009E772F" w:rsidP="00BD5AD2">
            <w:pPr>
              <w:rPr>
                <w:bCs/>
              </w:rPr>
            </w:pPr>
            <w:r w:rsidRPr="009D0B59">
              <w:rPr>
                <w:bCs/>
              </w:rPr>
              <w:t xml:space="preserve">where relevant, a description of instances when the accuracy and reliability of the methodology used for determining the benchmark can no longer </w:t>
            </w:r>
            <w:proofErr w:type="gramStart"/>
            <w:r w:rsidRPr="009D0B59">
              <w:rPr>
                <w:bCs/>
              </w:rPr>
              <w:t>be ensured</w:t>
            </w:r>
            <w:proofErr w:type="gramEnd"/>
            <w:r w:rsidRPr="009D0B59">
              <w:rPr>
                <w:bCs/>
              </w:rPr>
              <w:t>, such as when the administrator deems the liquidity in the underlying market as insufficient;</w:t>
            </w:r>
          </w:p>
        </w:tc>
        <w:tc>
          <w:tcPr>
            <w:tcW w:w="3945" w:type="dxa"/>
            <w:vMerge/>
            <w:vAlign w:val="top"/>
          </w:tcPr>
          <w:p w14:paraId="03293729" w14:textId="02EDCE70" w:rsidR="009E772F" w:rsidRPr="001F2DBC" w:rsidRDefault="009E772F" w:rsidP="00BD5AD2">
            <w:pPr>
              <w:rPr>
                <w:rFonts w:ascii="Times New Roman" w:hAnsi="Times New Roman" w:cs="Times New Roman"/>
                <w:sz w:val="24"/>
                <w:szCs w:val="24"/>
                <w:lang w:eastAsia="en-GB"/>
              </w:rPr>
            </w:pPr>
          </w:p>
        </w:tc>
      </w:tr>
      <w:tr w:rsidR="00BD5AD2" w14:paraId="7BC8083A" w14:textId="77777777" w:rsidTr="009F6360">
        <w:tc>
          <w:tcPr>
            <w:tcW w:w="1074" w:type="dxa"/>
          </w:tcPr>
          <w:p w14:paraId="2E345E1C" w14:textId="77777777" w:rsidR="00BD5AD2" w:rsidRPr="009D0B59" w:rsidRDefault="00BD5AD2" w:rsidP="00BD5AD2">
            <w:pPr>
              <w:rPr>
                <w:b/>
                <w:bCs/>
              </w:rPr>
            </w:pPr>
            <w:r w:rsidRPr="009D0B59">
              <w:rPr>
                <w:b/>
                <w:bCs/>
              </w:rPr>
              <w:t>(c)</w:t>
            </w:r>
          </w:p>
        </w:tc>
        <w:tc>
          <w:tcPr>
            <w:tcW w:w="4715" w:type="dxa"/>
          </w:tcPr>
          <w:p w14:paraId="2A0B3203" w14:textId="77777777" w:rsidR="00BD5AD2" w:rsidRPr="009D0B59" w:rsidRDefault="00BD5AD2" w:rsidP="00BD5AD2">
            <w:pPr>
              <w:rPr>
                <w:bCs/>
              </w:rPr>
            </w:pPr>
            <w:r w:rsidRPr="009D0B59">
              <w:rPr>
                <w:bCs/>
              </w:rPr>
              <w:t xml:space="preserve">any other information that the administrator </w:t>
            </w:r>
            <w:proofErr w:type="gramStart"/>
            <w:r w:rsidRPr="009D0B59">
              <w:rPr>
                <w:bCs/>
              </w:rPr>
              <w:t>reasonably considers</w:t>
            </w:r>
            <w:proofErr w:type="gramEnd"/>
            <w:r w:rsidRPr="009D0B59">
              <w:rPr>
                <w:bCs/>
              </w:rPr>
              <w:t xml:space="preserve"> to be relevant or useful to help users and potential users to understand the circumstances in which the measurement of the market or economic reality may become unreliable, including a description of what might constitute an exceptional market event.</w:t>
            </w:r>
          </w:p>
        </w:tc>
        <w:tc>
          <w:tcPr>
            <w:tcW w:w="3945" w:type="dxa"/>
            <w:vAlign w:val="top"/>
          </w:tcPr>
          <w:p w14:paraId="0A8A6EC4" w14:textId="128E1F76" w:rsidR="00BD5AD2" w:rsidRDefault="00BD5AD2" w:rsidP="00BD5AD2">
            <w:r>
              <w:t xml:space="preserve">The </w:t>
            </w:r>
            <w:r w:rsidR="009E772F" w:rsidRPr="008F1A7B">
              <w:t xml:space="preserve">CME Term SOFR Daily </w:t>
            </w:r>
            <w:r w:rsidR="007F70EA">
              <w:t>Return Indices rely</w:t>
            </w:r>
            <w:r>
              <w:t xml:space="preserve"> on the regular functioning of </w:t>
            </w:r>
            <w:r w:rsidR="009E772F">
              <w:t>CME Term SOFR Reference Rates. If the SOFR Futures market was</w:t>
            </w:r>
            <w:r>
              <w:t xml:space="preserve"> not operating due to severe disruptions or regulatory limitations to their normal functioning</w:t>
            </w:r>
            <w:r w:rsidR="009E772F">
              <w:t xml:space="preserve"> </w:t>
            </w:r>
            <w:proofErr w:type="gramStart"/>
            <w:r w:rsidR="009E772F">
              <w:t>reliable</w:t>
            </w:r>
            <w:proofErr w:type="gramEnd"/>
            <w:r w:rsidR="009E772F">
              <w:t>, the representation of underlying markets could be severely affected.</w:t>
            </w:r>
          </w:p>
        </w:tc>
      </w:tr>
      <w:tr w:rsidR="009D0B59" w14:paraId="3F1C5AB0" w14:textId="77777777" w:rsidTr="009F6360">
        <w:tc>
          <w:tcPr>
            <w:tcW w:w="1074" w:type="dxa"/>
          </w:tcPr>
          <w:p w14:paraId="43F08DA9" w14:textId="77777777" w:rsidR="009D0B59" w:rsidRPr="009D0B59" w:rsidRDefault="009D0B59" w:rsidP="00CC6A1F">
            <w:pPr>
              <w:rPr>
                <w:b/>
                <w:bCs/>
              </w:rPr>
            </w:pPr>
            <w:r w:rsidRPr="009D0B59">
              <w:rPr>
                <w:b/>
                <w:bCs/>
              </w:rPr>
              <w:t>RTS 1(4)</w:t>
            </w:r>
          </w:p>
        </w:tc>
        <w:tc>
          <w:tcPr>
            <w:tcW w:w="4715" w:type="dxa"/>
          </w:tcPr>
          <w:p w14:paraId="7E775825" w14:textId="77777777" w:rsidR="009D0B59" w:rsidRPr="009D0B59" w:rsidRDefault="009D0B59" w:rsidP="00CC6A1F">
            <w:pPr>
              <w:rPr>
                <w:bCs/>
              </w:rPr>
            </w:pPr>
            <w:r w:rsidRPr="009D0B59">
              <w:rPr>
                <w:bCs/>
              </w:rPr>
              <w:t xml:space="preserve">In specifying the controls and rules that govern any exercise of judgement or discretion by the administrator or any contributors in calculating the benchmark or benchmarks, the benchmark statement shall include an outline of each step of the process for any ex post evaluation of the use of </w:t>
            </w:r>
            <w:r w:rsidRPr="009D0B59">
              <w:rPr>
                <w:bCs/>
              </w:rPr>
              <w:lastRenderedPageBreak/>
              <w:t xml:space="preserve">discretion, together with a clear indication of the position of any person(s) responsible for </w:t>
            </w:r>
            <w:proofErr w:type="gramStart"/>
            <w:r w:rsidRPr="009D0B59">
              <w:rPr>
                <w:bCs/>
              </w:rPr>
              <w:t>carrying out</w:t>
            </w:r>
            <w:proofErr w:type="gramEnd"/>
            <w:r w:rsidRPr="009D0B59">
              <w:rPr>
                <w:bCs/>
              </w:rPr>
              <w:t xml:space="preserve"> the evaluations.</w:t>
            </w:r>
          </w:p>
        </w:tc>
        <w:tc>
          <w:tcPr>
            <w:tcW w:w="3945" w:type="dxa"/>
          </w:tcPr>
          <w:p w14:paraId="437D75C8" w14:textId="19A15631" w:rsidR="009D0B59" w:rsidRDefault="009D0B59" w:rsidP="00CC6A1F">
            <w:r>
              <w:lastRenderedPageBreak/>
              <w:t xml:space="preserve">The </w:t>
            </w:r>
            <w:r w:rsidR="009E772F" w:rsidRPr="008F1A7B">
              <w:t xml:space="preserve">CME Term SOFR Daily </w:t>
            </w:r>
            <w:r w:rsidR="007F70EA">
              <w:t>Return Indices do</w:t>
            </w:r>
            <w:r>
              <w:t xml:space="preserve"> not include discretion or expert judgement at any step of their </w:t>
            </w:r>
            <w:r w:rsidR="009E772F">
              <w:t xml:space="preserve">daily </w:t>
            </w:r>
            <w:r>
              <w:t>determination process.</w:t>
            </w:r>
          </w:p>
        </w:tc>
      </w:tr>
      <w:tr w:rsidR="009D0B59" w14:paraId="104B9BE4" w14:textId="77777777" w:rsidTr="009F6360">
        <w:tc>
          <w:tcPr>
            <w:tcW w:w="1074" w:type="dxa"/>
          </w:tcPr>
          <w:p w14:paraId="3DCFF465" w14:textId="77777777" w:rsidR="009D0B59" w:rsidRPr="009D0B59" w:rsidRDefault="009D0B59" w:rsidP="00CC6A1F">
            <w:pPr>
              <w:rPr>
                <w:b/>
                <w:bCs/>
              </w:rPr>
            </w:pPr>
            <w:r w:rsidRPr="009D0B59">
              <w:rPr>
                <w:b/>
                <w:bCs/>
              </w:rPr>
              <w:t>RTS 1(5)</w:t>
            </w:r>
          </w:p>
        </w:tc>
        <w:tc>
          <w:tcPr>
            <w:tcW w:w="4715" w:type="dxa"/>
          </w:tcPr>
          <w:p w14:paraId="6DDF9417" w14:textId="77777777" w:rsidR="009D0B59" w:rsidRPr="009D0B59" w:rsidRDefault="009D0B59" w:rsidP="00CC6A1F">
            <w:pPr>
              <w:rPr>
                <w:bCs/>
              </w:rPr>
            </w:pPr>
            <w:r w:rsidRPr="009D0B59">
              <w:rPr>
                <w:bCs/>
              </w:rPr>
              <w:t>In specifying the procedures for review of the methodology, the benchmark statement shall at least outline the procedures for public consultation on any material changes to the methodology.</w:t>
            </w:r>
          </w:p>
        </w:tc>
        <w:tc>
          <w:tcPr>
            <w:tcW w:w="3945" w:type="dxa"/>
          </w:tcPr>
          <w:p w14:paraId="3541288C" w14:textId="77777777" w:rsidR="009D0B59" w:rsidRDefault="009D0B59" w:rsidP="00CC6A1F">
            <w:r w:rsidRPr="00025377">
              <w:t xml:space="preserve">The </w:t>
            </w:r>
            <w:r>
              <w:t>m</w:t>
            </w:r>
            <w:r w:rsidRPr="00025377">
              <w:t xml:space="preserve">ethodology provides that </w:t>
            </w:r>
            <w:r>
              <w:t>the Administrator</w:t>
            </w:r>
            <w:r w:rsidRPr="00025377">
              <w:t xml:space="preserve"> will consult with </w:t>
            </w:r>
            <w:r>
              <w:t>s</w:t>
            </w:r>
            <w:r w:rsidRPr="00025377">
              <w:t>takeholders on material changes to the</w:t>
            </w:r>
            <w:r>
              <w:t xml:space="preserve"> m</w:t>
            </w:r>
            <w:r w:rsidRPr="00025377">
              <w:t xml:space="preserve">ethodology. </w:t>
            </w:r>
          </w:p>
          <w:p w14:paraId="1FBD55CF" w14:textId="77777777" w:rsidR="009D0B59" w:rsidRDefault="009D0B59" w:rsidP="00CC6A1F"/>
          <w:p w14:paraId="3D919C99" w14:textId="77777777" w:rsidR="009D0B59" w:rsidRDefault="009D0B59" w:rsidP="00CC6A1F">
            <w:r w:rsidRPr="00025377">
              <w:t xml:space="preserve">Consultation will ordinarily consist of publishing of proposals, providing </w:t>
            </w:r>
            <w:r>
              <w:t>s</w:t>
            </w:r>
            <w:r w:rsidRPr="00025377">
              <w:t xml:space="preserve">takeholders with a reasonable time to respond and publishing actions as a result of the consultation. </w:t>
            </w:r>
          </w:p>
          <w:p w14:paraId="16316E7B" w14:textId="77777777" w:rsidR="009D0B59" w:rsidRDefault="009D0B59" w:rsidP="00CC6A1F"/>
          <w:p w14:paraId="69A7C870" w14:textId="7D78A650" w:rsidR="009D0B59" w:rsidRDefault="009D0B59" w:rsidP="00CC6A1F">
            <w:r w:rsidRPr="00025377">
              <w:t>In addition, the</w:t>
            </w:r>
            <w:r w:rsidR="000E4203">
              <w:t xml:space="preserve"> Term SOFR</w:t>
            </w:r>
            <w:r w:rsidRPr="00025377">
              <w:t xml:space="preserve"> </w:t>
            </w:r>
            <w:r>
              <w:t>O</w:t>
            </w:r>
            <w:r w:rsidRPr="00025377">
              <w:t xml:space="preserve">versight </w:t>
            </w:r>
            <w:r>
              <w:t>C</w:t>
            </w:r>
            <w:r w:rsidRPr="00025377">
              <w:t>ommittee can request the Administrator to consult on any change as appropriate.</w:t>
            </w:r>
          </w:p>
          <w:p w14:paraId="6794175C" w14:textId="77777777" w:rsidR="00005BCB" w:rsidRDefault="00005BCB" w:rsidP="00CC6A1F"/>
          <w:p w14:paraId="01681072" w14:textId="370CE68F" w:rsidR="00005BCB" w:rsidRDefault="00005BCB" w:rsidP="00CC6A1F">
            <w:r>
              <w:t xml:space="preserve">Details of any consultation, including a summary of the results, will be published to the </w:t>
            </w:r>
            <w:hyperlink r:id="rId15" w:history="1">
              <w:r w:rsidRPr="00005BCB">
                <w:rPr>
                  <w:rStyle w:val="Hyperlink"/>
                </w:rPr>
                <w:t>CME Website</w:t>
              </w:r>
            </w:hyperlink>
            <w:r>
              <w:t>.</w:t>
            </w:r>
          </w:p>
        </w:tc>
      </w:tr>
      <w:tr w:rsidR="009D0B59" w14:paraId="70AB1C59" w14:textId="77777777" w:rsidTr="009F6360">
        <w:tc>
          <w:tcPr>
            <w:tcW w:w="1074" w:type="dxa"/>
          </w:tcPr>
          <w:p w14:paraId="3FA82F54" w14:textId="77777777" w:rsidR="009D0B59" w:rsidRPr="009D0B59" w:rsidRDefault="009D0B59" w:rsidP="00CC6A1F">
            <w:pPr>
              <w:rPr>
                <w:b/>
                <w:bCs/>
              </w:rPr>
            </w:pPr>
            <w:r w:rsidRPr="009D0B59">
              <w:rPr>
                <w:b/>
                <w:bCs/>
              </w:rPr>
              <w:t>RTS 2</w:t>
            </w:r>
          </w:p>
        </w:tc>
        <w:tc>
          <w:tcPr>
            <w:tcW w:w="8660" w:type="dxa"/>
            <w:gridSpan w:val="2"/>
          </w:tcPr>
          <w:p w14:paraId="322C8305" w14:textId="77777777" w:rsidR="009D0B59" w:rsidRPr="009D0B59" w:rsidRDefault="009D0B59" w:rsidP="00CC6A1F">
            <w:pPr>
              <w:rPr>
                <w:bCs/>
              </w:rPr>
            </w:pPr>
            <w:r w:rsidRPr="009D0B59">
              <w:rPr>
                <w:bCs/>
              </w:rPr>
              <w:t xml:space="preserve">In addition to the information to </w:t>
            </w:r>
            <w:proofErr w:type="gramStart"/>
            <w:r w:rsidRPr="009D0B59">
              <w:rPr>
                <w:bCs/>
              </w:rPr>
              <w:t>be included</w:t>
            </w:r>
            <w:proofErr w:type="gramEnd"/>
            <w:r w:rsidRPr="009D0B59">
              <w:rPr>
                <w:bCs/>
              </w:rPr>
              <w:t xml:space="preserve"> pursuant to Article 1, for a regulated-data benchmark or, where applicable, family of regulated-data benchmarks, the benchmark statement shall state at least the following in its description of the input data:</w:t>
            </w:r>
          </w:p>
        </w:tc>
      </w:tr>
      <w:tr w:rsidR="00BD5AD2" w14:paraId="0FAFEC9F" w14:textId="77777777" w:rsidTr="009F6360">
        <w:tc>
          <w:tcPr>
            <w:tcW w:w="1074" w:type="dxa"/>
          </w:tcPr>
          <w:p w14:paraId="6F6B71BF" w14:textId="77777777" w:rsidR="00BD5AD2" w:rsidRPr="009D0B59" w:rsidRDefault="00BD5AD2" w:rsidP="00BD5AD2">
            <w:pPr>
              <w:rPr>
                <w:b/>
                <w:bCs/>
              </w:rPr>
            </w:pPr>
            <w:r w:rsidRPr="009D0B59">
              <w:rPr>
                <w:b/>
                <w:bCs/>
              </w:rPr>
              <w:t>(a)</w:t>
            </w:r>
          </w:p>
        </w:tc>
        <w:tc>
          <w:tcPr>
            <w:tcW w:w="4715" w:type="dxa"/>
          </w:tcPr>
          <w:p w14:paraId="07F7B07D" w14:textId="77777777" w:rsidR="00BD5AD2" w:rsidRPr="009D0B59" w:rsidRDefault="00BD5AD2" w:rsidP="00BD5AD2">
            <w:pPr>
              <w:rPr>
                <w:bCs/>
              </w:rPr>
            </w:pPr>
            <w:r w:rsidRPr="009D0B59">
              <w:rPr>
                <w:bCs/>
              </w:rPr>
              <w:t>the sources of the input data used;</w:t>
            </w:r>
          </w:p>
        </w:tc>
        <w:tc>
          <w:tcPr>
            <w:tcW w:w="3945" w:type="dxa"/>
            <w:vAlign w:val="top"/>
          </w:tcPr>
          <w:p w14:paraId="443A67E1" w14:textId="77777777" w:rsidR="00BD5AD2" w:rsidRDefault="00BD5AD2" w:rsidP="00BD5AD2">
            <w:r>
              <w:t>N/A – Not a regulated data benchmark</w:t>
            </w:r>
            <w:r w:rsidDel="00B96A6E">
              <w:t xml:space="preserve"> </w:t>
            </w:r>
          </w:p>
        </w:tc>
      </w:tr>
      <w:tr w:rsidR="00BD5AD2" w14:paraId="764DDDED" w14:textId="77777777" w:rsidTr="009F6360">
        <w:tc>
          <w:tcPr>
            <w:tcW w:w="1074" w:type="dxa"/>
          </w:tcPr>
          <w:p w14:paraId="6B1546FB" w14:textId="77777777" w:rsidR="00BD5AD2" w:rsidRPr="009D0B59" w:rsidRDefault="00BD5AD2" w:rsidP="00BD5AD2">
            <w:pPr>
              <w:rPr>
                <w:b/>
                <w:bCs/>
              </w:rPr>
            </w:pPr>
            <w:r w:rsidRPr="009D0B59">
              <w:rPr>
                <w:b/>
                <w:bCs/>
              </w:rPr>
              <w:t>(b)</w:t>
            </w:r>
          </w:p>
        </w:tc>
        <w:tc>
          <w:tcPr>
            <w:tcW w:w="4715" w:type="dxa"/>
          </w:tcPr>
          <w:p w14:paraId="2A51065E" w14:textId="77777777" w:rsidR="00BD5AD2" w:rsidRPr="009D0B59" w:rsidRDefault="00BD5AD2" w:rsidP="00BD5AD2">
            <w:pPr>
              <w:rPr>
                <w:bCs/>
              </w:rPr>
            </w:pPr>
            <w:r w:rsidRPr="009D0B59">
              <w:rPr>
                <w:bCs/>
              </w:rPr>
              <w:t>for each source, the relevant type, as listed in Article 3(1)(24) of Regulation (EU) 2016/1011.</w:t>
            </w:r>
          </w:p>
        </w:tc>
        <w:tc>
          <w:tcPr>
            <w:tcW w:w="3945" w:type="dxa"/>
            <w:vAlign w:val="top"/>
          </w:tcPr>
          <w:p w14:paraId="016E0F4E" w14:textId="77777777" w:rsidR="00BD5AD2" w:rsidRDefault="00BD5AD2" w:rsidP="00BD5AD2">
            <w:r>
              <w:t>N/A – Not a regulated data benchmark</w:t>
            </w:r>
          </w:p>
        </w:tc>
      </w:tr>
      <w:tr w:rsidR="009D0B59" w14:paraId="7E043CE0" w14:textId="77777777" w:rsidTr="009F6360">
        <w:tc>
          <w:tcPr>
            <w:tcW w:w="1074" w:type="dxa"/>
          </w:tcPr>
          <w:p w14:paraId="2447CEF4" w14:textId="77777777" w:rsidR="009D0B59" w:rsidRPr="009D0B59" w:rsidRDefault="009D0B59" w:rsidP="00CC6A1F">
            <w:pPr>
              <w:rPr>
                <w:b/>
                <w:bCs/>
              </w:rPr>
            </w:pPr>
            <w:r w:rsidRPr="009D0B59">
              <w:rPr>
                <w:b/>
                <w:bCs/>
              </w:rPr>
              <w:t>RTS 3</w:t>
            </w:r>
          </w:p>
        </w:tc>
        <w:tc>
          <w:tcPr>
            <w:tcW w:w="8660" w:type="dxa"/>
            <w:gridSpan w:val="2"/>
          </w:tcPr>
          <w:p w14:paraId="71DB1D69" w14:textId="77777777" w:rsidR="009D0B59" w:rsidRPr="009D0B59" w:rsidRDefault="009D0B59" w:rsidP="00CC6A1F">
            <w:pPr>
              <w:rPr>
                <w:bCs/>
              </w:rPr>
            </w:pPr>
            <w:r w:rsidRPr="009D0B59">
              <w:rPr>
                <w:bCs/>
              </w:rPr>
              <w:t xml:space="preserve">In addition to the information to </w:t>
            </w:r>
            <w:proofErr w:type="gramStart"/>
            <w:r w:rsidRPr="009D0B59">
              <w:rPr>
                <w:bCs/>
              </w:rPr>
              <w:t>be included</w:t>
            </w:r>
            <w:proofErr w:type="gramEnd"/>
            <w:r w:rsidRPr="009D0B59">
              <w:rPr>
                <w:bCs/>
              </w:rPr>
              <w:t xml:space="preserve"> pursuant to Article 1, for an interest rate benchmark or, where applicable, family of interest rate benchmarks, the benchmark statement shall include at least the following information:</w:t>
            </w:r>
          </w:p>
        </w:tc>
      </w:tr>
      <w:tr w:rsidR="009E772F" w14:paraId="7137B4F4" w14:textId="77777777" w:rsidTr="009F6360">
        <w:tc>
          <w:tcPr>
            <w:tcW w:w="1074" w:type="dxa"/>
          </w:tcPr>
          <w:p w14:paraId="03A067C6" w14:textId="77777777" w:rsidR="009E772F" w:rsidRPr="009D0B59" w:rsidRDefault="009E772F" w:rsidP="009E772F">
            <w:pPr>
              <w:rPr>
                <w:b/>
                <w:bCs/>
              </w:rPr>
            </w:pPr>
            <w:r w:rsidRPr="009D0B59">
              <w:rPr>
                <w:b/>
                <w:bCs/>
              </w:rPr>
              <w:t>(a)</w:t>
            </w:r>
          </w:p>
        </w:tc>
        <w:tc>
          <w:tcPr>
            <w:tcW w:w="4715" w:type="dxa"/>
          </w:tcPr>
          <w:p w14:paraId="3BB9B6ED" w14:textId="77777777" w:rsidR="009E772F" w:rsidRPr="009D0B59" w:rsidRDefault="009E772F" w:rsidP="009E772F">
            <w:pPr>
              <w:rPr>
                <w:bCs/>
              </w:rPr>
            </w:pPr>
            <w:r w:rsidRPr="009D0B59">
              <w:rPr>
                <w:bCs/>
              </w:rPr>
              <w:t>a reference alerting users to the additional regulatory regime applicable to interest rate benchmarks under Annex I to Regulation (EU) 2016/1011;</w:t>
            </w:r>
          </w:p>
        </w:tc>
        <w:tc>
          <w:tcPr>
            <w:tcW w:w="3945" w:type="dxa"/>
            <w:vAlign w:val="top"/>
          </w:tcPr>
          <w:p w14:paraId="5EAB6B14" w14:textId="15A0DD99" w:rsidR="009E772F" w:rsidRDefault="009E772F" w:rsidP="009E772F">
            <w:r w:rsidRPr="00F64A46">
              <w:t>N/A – Not an interest rate benchmark</w:t>
            </w:r>
          </w:p>
        </w:tc>
      </w:tr>
      <w:tr w:rsidR="009E772F" w:rsidRPr="000B3C26" w14:paraId="44434A01" w14:textId="77777777" w:rsidTr="009F6360">
        <w:tc>
          <w:tcPr>
            <w:tcW w:w="1074" w:type="dxa"/>
          </w:tcPr>
          <w:p w14:paraId="0125FAEB" w14:textId="77777777" w:rsidR="009E772F" w:rsidRPr="009D0B59" w:rsidRDefault="009E772F" w:rsidP="009E772F">
            <w:pPr>
              <w:rPr>
                <w:b/>
                <w:bCs/>
              </w:rPr>
            </w:pPr>
            <w:r w:rsidRPr="009D0B59">
              <w:rPr>
                <w:b/>
                <w:bCs/>
              </w:rPr>
              <w:t>(b)</w:t>
            </w:r>
          </w:p>
        </w:tc>
        <w:tc>
          <w:tcPr>
            <w:tcW w:w="4715" w:type="dxa"/>
          </w:tcPr>
          <w:p w14:paraId="2917A9AB" w14:textId="77777777" w:rsidR="009E772F" w:rsidRPr="009D0B59" w:rsidRDefault="009E772F" w:rsidP="009E772F">
            <w:pPr>
              <w:rPr>
                <w:bCs/>
              </w:rPr>
            </w:pPr>
            <w:r w:rsidRPr="009D0B59">
              <w:rPr>
                <w:bCs/>
              </w:rPr>
              <w:t xml:space="preserve">a description of the arrangements that have </w:t>
            </w:r>
            <w:proofErr w:type="gramStart"/>
            <w:r w:rsidRPr="009D0B59">
              <w:rPr>
                <w:bCs/>
              </w:rPr>
              <w:t>been put</w:t>
            </w:r>
            <w:proofErr w:type="gramEnd"/>
            <w:r w:rsidRPr="009D0B59">
              <w:rPr>
                <w:bCs/>
              </w:rPr>
              <w:t xml:space="preserve"> in place to comply with that Annex.</w:t>
            </w:r>
          </w:p>
        </w:tc>
        <w:tc>
          <w:tcPr>
            <w:tcW w:w="3945" w:type="dxa"/>
            <w:vAlign w:val="top"/>
          </w:tcPr>
          <w:p w14:paraId="255EE350" w14:textId="61771D77" w:rsidR="009E772F" w:rsidRPr="00F03B61" w:rsidRDefault="009E772F" w:rsidP="009E772F">
            <w:r w:rsidRPr="00F64A46">
              <w:t>N/A – Not an interest rate benchmark</w:t>
            </w:r>
          </w:p>
        </w:tc>
      </w:tr>
      <w:tr w:rsidR="009D0B59" w14:paraId="1E3EEE92" w14:textId="77777777" w:rsidTr="009F6360">
        <w:tc>
          <w:tcPr>
            <w:tcW w:w="1074" w:type="dxa"/>
          </w:tcPr>
          <w:p w14:paraId="647AEF50" w14:textId="77777777" w:rsidR="009D0B59" w:rsidRPr="009D0B59" w:rsidRDefault="009D0B59" w:rsidP="00CC6A1F">
            <w:pPr>
              <w:rPr>
                <w:b/>
                <w:bCs/>
              </w:rPr>
            </w:pPr>
            <w:r w:rsidRPr="009D0B59">
              <w:rPr>
                <w:b/>
                <w:bCs/>
              </w:rPr>
              <w:t>RTS 4</w:t>
            </w:r>
          </w:p>
        </w:tc>
        <w:tc>
          <w:tcPr>
            <w:tcW w:w="8660" w:type="dxa"/>
            <w:gridSpan w:val="2"/>
          </w:tcPr>
          <w:p w14:paraId="5B3BBFEE" w14:textId="77777777" w:rsidR="009D0B59" w:rsidRPr="009D0B59" w:rsidRDefault="009D0B59" w:rsidP="00CC6A1F">
            <w:pPr>
              <w:rPr>
                <w:bCs/>
              </w:rPr>
            </w:pPr>
            <w:r w:rsidRPr="009D0B59">
              <w:rPr>
                <w:bCs/>
              </w:rPr>
              <w:t xml:space="preserve">In addition to the information to </w:t>
            </w:r>
            <w:proofErr w:type="gramStart"/>
            <w:r w:rsidRPr="009D0B59">
              <w:rPr>
                <w:bCs/>
              </w:rPr>
              <w:t>be included</w:t>
            </w:r>
            <w:proofErr w:type="gramEnd"/>
            <w:r w:rsidRPr="009D0B59">
              <w:rPr>
                <w:bCs/>
              </w:rPr>
              <w:t xml:space="preserve"> pursuant to Article 1, for a commodity benchmark or, where applicable, family of commodity benchmarks, the benchmark statement shall at least:</w:t>
            </w:r>
          </w:p>
        </w:tc>
      </w:tr>
      <w:tr w:rsidR="009D0B59" w14:paraId="6BD67A18" w14:textId="77777777" w:rsidTr="009F6360">
        <w:tc>
          <w:tcPr>
            <w:tcW w:w="1074" w:type="dxa"/>
          </w:tcPr>
          <w:p w14:paraId="6F531A19" w14:textId="77777777" w:rsidR="009D0B59" w:rsidRPr="009D0B59" w:rsidRDefault="009D0B59" w:rsidP="00CC6A1F">
            <w:pPr>
              <w:rPr>
                <w:b/>
                <w:bCs/>
              </w:rPr>
            </w:pPr>
            <w:r w:rsidRPr="009D0B59">
              <w:rPr>
                <w:b/>
                <w:bCs/>
              </w:rPr>
              <w:t>(a)</w:t>
            </w:r>
          </w:p>
        </w:tc>
        <w:tc>
          <w:tcPr>
            <w:tcW w:w="4715" w:type="dxa"/>
          </w:tcPr>
          <w:p w14:paraId="621D20B9" w14:textId="77777777" w:rsidR="009D0B59" w:rsidRPr="009D0B59" w:rsidRDefault="009D0B59" w:rsidP="00CC6A1F">
            <w:pPr>
              <w:rPr>
                <w:bCs/>
              </w:rPr>
            </w:pPr>
            <w:r w:rsidRPr="009D0B59">
              <w:rPr>
                <w:bCs/>
              </w:rPr>
              <w:t>indicate whether the requirements of Title II of, or Annex II to, Regulation (EU) 2016/1011 apply to the benchmark, or family of benchmarks as prescribed by Article 19 of that Regulation;</w:t>
            </w:r>
          </w:p>
        </w:tc>
        <w:tc>
          <w:tcPr>
            <w:tcW w:w="3945" w:type="dxa"/>
          </w:tcPr>
          <w:p w14:paraId="127D4BED" w14:textId="77777777" w:rsidR="009D0B59" w:rsidRDefault="009D0B59" w:rsidP="00CC6A1F">
            <w:r>
              <w:t>N/A – Not a commodity benchmark</w:t>
            </w:r>
          </w:p>
        </w:tc>
      </w:tr>
      <w:tr w:rsidR="009D0B59" w14:paraId="7DCE35F1" w14:textId="77777777" w:rsidTr="009F6360">
        <w:tc>
          <w:tcPr>
            <w:tcW w:w="1074" w:type="dxa"/>
          </w:tcPr>
          <w:p w14:paraId="1E16D100" w14:textId="77777777" w:rsidR="009D0B59" w:rsidRPr="009D0B59" w:rsidRDefault="009D0B59" w:rsidP="00CC6A1F">
            <w:pPr>
              <w:rPr>
                <w:b/>
                <w:bCs/>
              </w:rPr>
            </w:pPr>
            <w:r w:rsidRPr="009D0B59">
              <w:rPr>
                <w:b/>
                <w:bCs/>
              </w:rPr>
              <w:t>(b)</w:t>
            </w:r>
          </w:p>
        </w:tc>
        <w:tc>
          <w:tcPr>
            <w:tcW w:w="4715" w:type="dxa"/>
          </w:tcPr>
          <w:p w14:paraId="6C5C9E3A" w14:textId="77777777" w:rsidR="009D0B59" w:rsidRPr="009D0B59" w:rsidRDefault="009D0B59" w:rsidP="00CC6A1F">
            <w:pPr>
              <w:rPr>
                <w:bCs/>
              </w:rPr>
            </w:pPr>
            <w:r w:rsidRPr="009D0B59">
              <w:rPr>
                <w:bCs/>
              </w:rPr>
              <w:t>include an explanation as to why Title II of or, as the case may be, Annex II to that Regulation applies;</w:t>
            </w:r>
          </w:p>
        </w:tc>
        <w:tc>
          <w:tcPr>
            <w:tcW w:w="3945" w:type="dxa"/>
          </w:tcPr>
          <w:p w14:paraId="382EFDDF" w14:textId="77777777" w:rsidR="009D0B59" w:rsidRDefault="009D0B59" w:rsidP="00CC6A1F">
            <w:r>
              <w:t>N/A – Not a commodity benchmark</w:t>
            </w:r>
          </w:p>
        </w:tc>
      </w:tr>
      <w:tr w:rsidR="009D0B59" w14:paraId="0AC5032E" w14:textId="77777777" w:rsidTr="009F6360">
        <w:tc>
          <w:tcPr>
            <w:tcW w:w="1074" w:type="dxa"/>
          </w:tcPr>
          <w:p w14:paraId="6AF847E6" w14:textId="77777777" w:rsidR="009D0B59" w:rsidRPr="009D0B59" w:rsidRDefault="009D0B59" w:rsidP="00CC6A1F">
            <w:pPr>
              <w:rPr>
                <w:b/>
                <w:bCs/>
              </w:rPr>
            </w:pPr>
            <w:r w:rsidRPr="009D0B59">
              <w:rPr>
                <w:b/>
                <w:bCs/>
              </w:rPr>
              <w:t>(c)</w:t>
            </w:r>
          </w:p>
        </w:tc>
        <w:tc>
          <w:tcPr>
            <w:tcW w:w="4715" w:type="dxa"/>
          </w:tcPr>
          <w:p w14:paraId="51EB2B61" w14:textId="77777777" w:rsidR="009D0B59" w:rsidRPr="009D0B59" w:rsidRDefault="009D0B59" w:rsidP="00CC6A1F">
            <w:pPr>
              <w:rPr>
                <w:bCs/>
              </w:rPr>
            </w:pPr>
            <w:r w:rsidRPr="009D0B59">
              <w:rPr>
                <w:bCs/>
              </w:rPr>
              <w:t>include in the definitions of key terms a concise description of the criteria that define the relevant underlying physical commodity;</w:t>
            </w:r>
          </w:p>
        </w:tc>
        <w:tc>
          <w:tcPr>
            <w:tcW w:w="3945" w:type="dxa"/>
          </w:tcPr>
          <w:p w14:paraId="45EC0693" w14:textId="77777777" w:rsidR="009D0B59" w:rsidRDefault="009D0B59" w:rsidP="00CC6A1F">
            <w:r>
              <w:t>N/A – Not a commodity benchmark</w:t>
            </w:r>
          </w:p>
        </w:tc>
      </w:tr>
      <w:tr w:rsidR="009D0B59" w14:paraId="5FF03FE8" w14:textId="77777777" w:rsidTr="009F6360">
        <w:tc>
          <w:tcPr>
            <w:tcW w:w="1074" w:type="dxa"/>
          </w:tcPr>
          <w:p w14:paraId="4317C404" w14:textId="77777777" w:rsidR="009D0B59" w:rsidRPr="009D0B59" w:rsidRDefault="009D0B59" w:rsidP="00CC6A1F">
            <w:pPr>
              <w:rPr>
                <w:b/>
                <w:bCs/>
              </w:rPr>
            </w:pPr>
            <w:r w:rsidRPr="009D0B59">
              <w:rPr>
                <w:b/>
                <w:bCs/>
              </w:rPr>
              <w:t>(d)</w:t>
            </w:r>
          </w:p>
        </w:tc>
        <w:tc>
          <w:tcPr>
            <w:tcW w:w="4715" w:type="dxa"/>
          </w:tcPr>
          <w:p w14:paraId="01C7B229" w14:textId="77777777" w:rsidR="009D0B59" w:rsidRPr="009D0B59" w:rsidRDefault="009D0B59" w:rsidP="00CC6A1F">
            <w:pPr>
              <w:rPr>
                <w:bCs/>
              </w:rPr>
            </w:pPr>
            <w:r w:rsidRPr="009D0B59">
              <w:rPr>
                <w:bCs/>
              </w:rPr>
              <w:t xml:space="preserve">where applicable, indicate where the explanations </w:t>
            </w:r>
            <w:proofErr w:type="gramStart"/>
            <w:r w:rsidRPr="009D0B59">
              <w:rPr>
                <w:bCs/>
              </w:rPr>
              <w:t>are published</w:t>
            </w:r>
            <w:proofErr w:type="gramEnd"/>
            <w:r w:rsidRPr="009D0B59">
              <w:rPr>
                <w:bCs/>
              </w:rPr>
              <w:t xml:space="preserve"> that the administrator is required to publish under paragraph 7 of Annex II to that Regulation.</w:t>
            </w:r>
          </w:p>
        </w:tc>
        <w:tc>
          <w:tcPr>
            <w:tcW w:w="3945" w:type="dxa"/>
          </w:tcPr>
          <w:p w14:paraId="650A872A" w14:textId="77777777" w:rsidR="009D0B59" w:rsidRDefault="009D0B59" w:rsidP="00CC6A1F">
            <w:r>
              <w:t>N/A – Not a commodity benchmark</w:t>
            </w:r>
          </w:p>
        </w:tc>
      </w:tr>
      <w:tr w:rsidR="009D0B59" w14:paraId="2263CB4F" w14:textId="77777777" w:rsidTr="009F6360">
        <w:tc>
          <w:tcPr>
            <w:tcW w:w="1074" w:type="dxa"/>
          </w:tcPr>
          <w:p w14:paraId="1ED09C79" w14:textId="77777777" w:rsidR="009D0B59" w:rsidRPr="009D0B59" w:rsidRDefault="009D0B59" w:rsidP="00CC6A1F">
            <w:pPr>
              <w:rPr>
                <w:b/>
                <w:bCs/>
              </w:rPr>
            </w:pPr>
            <w:r w:rsidRPr="009D0B59">
              <w:rPr>
                <w:b/>
                <w:bCs/>
              </w:rPr>
              <w:lastRenderedPageBreak/>
              <w:t>RTS 5</w:t>
            </w:r>
          </w:p>
        </w:tc>
        <w:tc>
          <w:tcPr>
            <w:tcW w:w="8660" w:type="dxa"/>
            <w:gridSpan w:val="2"/>
          </w:tcPr>
          <w:p w14:paraId="440F84BB" w14:textId="77777777" w:rsidR="009D0B59" w:rsidRPr="009D0B59" w:rsidRDefault="009D0B59" w:rsidP="00CC6A1F">
            <w:pPr>
              <w:rPr>
                <w:bCs/>
              </w:rPr>
            </w:pPr>
            <w:r w:rsidRPr="009D0B59">
              <w:rPr>
                <w:bCs/>
              </w:rPr>
              <w:t xml:space="preserve">In addition to the information to </w:t>
            </w:r>
            <w:proofErr w:type="gramStart"/>
            <w:r w:rsidRPr="009D0B59">
              <w:rPr>
                <w:bCs/>
              </w:rPr>
              <w:t>be included</w:t>
            </w:r>
            <w:proofErr w:type="gramEnd"/>
            <w:r w:rsidRPr="009D0B59">
              <w:rPr>
                <w:bCs/>
              </w:rPr>
              <w:t xml:space="preserve"> pursuant to Article 1, for a critical benchmark, or, where applicable, a family of benchmarks that contains at least one critical benchmark, the benchmark statement shall include at least the following information:</w:t>
            </w:r>
          </w:p>
        </w:tc>
      </w:tr>
      <w:tr w:rsidR="009D0B59" w14:paraId="5CC9CCA6" w14:textId="77777777" w:rsidTr="009F6360">
        <w:tc>
          <w:tcPr>
            <w:tcW w:w="1074" w:type="dxa"/>
          </w:tcPr>
          <w:p w14:paraId="697B5337" w14:textId="77777777" w:rsidR="009D0B59" w:rsidRPr="009D0B59" w:rsidRDefault="009D0B59" w:rsidP="00CC6A1F">
            <w:pPr>
              <w:rPr>
                <w:b/>
                <w:bCs/>
              </w:rPr>
            </w:pPr>
            <w:r w:rsidRPr="009D0B59">
              <w:rPr>
                <w:b/>
                <w:bCs/>
              </w:rPr>
              <w:t>(a)</w:t>
            </w:r>
          </w:p>
        </w:tc>
        <w:tc>
          <w:tcPr>
            <w:tcW w:w="4715" w:type="dxa"/>
          </w:tcPr>
          <w:p w14:paraId="3B3443B1" w14:textId="77777777" w:rsidR="009D0B59" w:rsidRPr="009D0B59" w:rsidRDefault="009D0B59" w:rsidP="00CC6A1F">
            <w:pPr>
              <w:rPr>
                <w:bCs/>
              </w:rPr>
            </w:pPr>
            <w:r w:rsidRPr="009D0B59">
              <w:rPr>
                <w:bCs/>
              </w:rPr>
              <w:t>a reference alerting users to the enhanced regulatory regime applicable to critical benchmarks under Regulation (EU) 2016/1011;</w:t>
            </w:r>
          </w:p>
        </w:tc>
        <w:tc>
          <w:tcPr>
            <w:tcW w:w="3945" w:type="dxa"/>
          </w:tcPr>
          <w:p w14:paraId="5F15A78E" w14:textId="77777777" w:rsidR="009D0B59" w:rsidRDefault="009D0B59" w:rsidP="00CC6A1F">
            <w:r>
              <w:t>N/A – Not a critical benchmark</w:t>
            </w:r>
          </w:p>
        </w:tc>
      </w:tr>
      <w:tr w:rsidR="009D0B59" w14:paraId="225694CC" w14:textId="77777777" w:rsidTr="009F6360">
        <w:tc>
          <w:tcPr>
            <w:tcW w:w="1074" w:type="dxa"/>
          </w:tcPr>
          <w:p w14:paraId="44BCE2E2" w14:textId="77777777" w:rsidR="009D0B59" w:rsidRPr="009D0B59" w:rsidRDefault="009D0B59" w:rsidP="00CC6A1F">
            <w:pPr>
              <w:rPr>
                <w:b/>
                <w:bCs/>
              </w:rPr>
            </w:pPr>
            <w:r w:rsidRPr="009D0B59">
              <w:rPr>
                <w:b/>
                <w:bCs/>
              </w:rPr>
              <w:t>(b)</w:t>
            </w:r>
          </w:p>
        </w:tc>
        <w:tc>
          <w:tcPr>
            <w:tcW w:w="4715" w:type="dxa"/>
          </w:tcPr>
          <w:p w14:paraId="1D58C521" w14:textId="77777777" w:rsidR="009D0B59" w:rsidRPr="009D0B59" w:rsidRDefault="009D0B59" w:rsidP="00CC6A1F">
            <w:pPr>
              <w:rPr>
                <w:bCs/>
              </w:rPr>
            </w:pPr>
            <w:r w:rsidRPr="009D0B59">
              <w:rPr>
                <w:bCs/>
              </w:rPr>
              <w:t xml:space="preserve">a statement indicating how users will </w:t>
            </w:r>
            <w:proofErr w:type="gramStart"/>
            <w:r w:rsidRPr="009D0B59">
              <w:rPr>
                <w:bCs/>
              </w:rPr>
              <w:t>be informed</w:t>
            </w:r>
            <w:proofErr w:type="gramEnd"/>
            <w:r w:rsidRPr="009D0B59">
              <w:rPr>
                <w:bCs/>
              </w:rPr>
              <w:t xml:space="preserve"> of any delay in the publication of the benchmark or of any re-de-termination of the benchmark and indicating the (expected) duration of measures.</w:t>
            </w:r>
          </w:p>
        </w:tc>
        <w:tc>
          <w:tcPr>
            <w:tcW w:w="3945" w:type="dxa"/>
          </w:tcPr>
          <w:p w14:paraId="718F5256" w14:textId="77777777" w:rsidR="009D0B59" w:rsidRDefault="009D0B59" w:rsidP="00CC6A1F">
            <w:r>
              <w:t>N/A – Not a critical benchmark</w:t>
            </w:r>
            <w:r w:rsidDel="00005A7B">
              <w:t xml:space="preserve"> </w:t>
            </w:r>
          </w:p>
        </w:tc>
      </w:tr>
      <w:tr w:rsidR="009D0B59" w14:paraId="25CF700D" w14:textId="77777777" w:rsidTr="009F6360">
        <w:tc>
          <w:tcPr>
            <w:tcW w:w="1074" w:type="dxa"/>
          </w:tcPr>
          <w:p w14:paraId="6E970AC8" w14:textId="77777777" w:rsidR="009D0B59" w:rsidRPr="009D0B59" w:rsidRDefault="009D0B59" w:rsidP="00CC6A1F">
            <w:pPr>
              <w:rPr>
                <w:b/>
                <w:bCs/>
              </w:rPr>
            </w:pPr>
            <w:r w:rsidRPr="009D0B59">
              <w:rPr>
                <w:b/>
                <w:bCs/>
              </w:rPr>
              <w:t>RTS 6</w:t>
            </w:r>
          </w:p>
        </w:tc>
        <w:tc>
          <w:tcPr>
            <w:tcW w:w="8660" w:type="dxa"/>
            <w:gridSpan w:val="2"/>
          </w:tcPr>
          <w:p w14:paraId="33858F19" w14:textId="77777777" w:rsidR="009D0B59" w:rsidRPr="009D0B59" w:rsidRDefault="009D0B59" w:rsidP="00CC6A1F">
            <w:pPr>
              <w:rPr>
                <w:bCs/>
              </w:rPr>
            </w:pPr>
            <w:r w:rsidRPr="009D0B59">
              <w:rPr>
                <w:bCs/>
              </w:rPr>
              <w:t xml:space="preserve">In addition to the cases referred to in the third subparagraph of Article 27(1) of Regulation (EU) 2016/1011, an update of the benchmark statement shall </w:t>
            </w:r>
            <w:proofErr w:type="gramStart"/>
            <w:r w:rsidRPr="009D0B59">
              <w:rPr>
                <w:bCs/>
              </w:rPr>
              <w:t>be required</w:t>
            </w:r>
            <w:proofErr w:type="gramEnd"/>
            <w:r w:rsidRPr="009D0B59">
              <w:rPr>
                <w:bCs/>
              </w:rPr>
              <w:t xml:space="preserve"> whenever the information contained in the statement ceases to be correct or sufficiently precise, and including in any event in the following cases:</w:t>
            </w:r>
          </w:p>
        </w:tc>
      </w:tr>
      <w:tr w:rsidR="009D0B59" w:rsidRPr="00D56471" w14:paraId="1B10AC4C" w14:textId="77777777" w:rsidTr="009F6360">
        <w:tc>
          <w:tcPr>
            <w:tcW w:w="1074" w:type="dxa"/>
          </w:tcPr>
          <w:p w14:paraId="220A5E85" w14:textId="77777777" w:rsidR="009D0B59" w:rsidRPr="009D0B59" w:rsidRDefault="009D0B59" w:rsidP="00CC6A1F">
            <w:pPr>
              <w:rPr>
                <w:b/>
                <w:bCs/>
              </w:rPr>
            </w:pPr>
            <w:r w:rsidRPr="009D0B59">
              <w:rPr>
                <w:b/>
                <w:bCs/>
              </w:rPr>
              <w:t>(a)</w:t>
            </w:r>
          </w:p>
        </w:tc>
        <w:tc>
          <w:tcPr>
            <w:tcW w:w="4715" w:type="dxa"/>
          </w:tcPr>
          <w:p w14:paraId="02D8C5D9" w14:textId="77777777" w:rsidR="009D0B59" w:rsidRPr="009D0B59" w:rsidRDefault="009D0B59" w:rsidP="00CC6A1F">
            <w:pPr>
              <w:rPr>
                <w:bCs/>
              </w:rPr>
            </w:pPr>
            <w:r w:rsidRPr="009D0B59">
              <w:rPr>
                <w:bCs/>
              </w:rPr>
              <w:t>whenever there is a change in the type of the benchmark;</w:t>
            </w:r>
          </w:p>
        </w:tc>
        <w:tc>
          <w:tcPr>
            <w:tcW w:w="3945" w:type="dxa"/>
          </w:tcPr>
          <w:p w14:paraId="512ACBC8" w14:textId="77777777" w:rsidR="009D0B59" w:rsidRDefault="009D0B59" w:rsidP="00CC6A1F">
            <w:r w:rsidRPr="00D56471">
              <w:t xml:space="preserve">This Benchmark Statement shall </w:t>
            </w:r>
            <w:proofErr w:type="gramStart"/>
            <w:r w:rsidRPr="00D56471">
              <w:t>be updated</w:t>
            </w:r>
            <w:proofErr w:type="gramEnd"/>
            <w:r w:rsidRPr="00D56471">
              <w:t xml:space="preserve"> where information contained within it ceases to be correct or sufficiently precise, including where there is a change to the type of input data.</w:t>
            </w:r>
          </w:p>
          <w:p w14:paraId="71D8891A" w14:textId="77777777" w:rsidR="009D0B59" w:rsidRPr="00D56471" w:rsidRDefault="009D0B59" w:rsidP="00CC6A1F"/>
        </w:tc>
      </w:tr>
      <w:tr w:rsidR="009D0B59" w14:paraId="0B5D4FDF" w14:textId="77777777" w:rsidTr="009F6360">
        <w:tc>
          <w:tcPr>
            <w:tcW w:w="1074" w:type="dxa"/>
          </w:tcPr>
          <w:p w14:paraId="69AEB134" w14:textId="77777777" w:rsidR="009D0B59" w:rsidRPr="009D0B59" w:rsidRDefault="009D0B59" w:rsidP="00CC6A1F">
            <w:pPr>
              <w:rPr>
                <w:b/>
                <w:bCs/>
              </w:rPr>
            </w:pPr>
            <w:r w:rsidRPr="009D0B59">
              <w:rPr>
                <w:b/>
                <w:bCs/>
              </w:rPr>
              <w:t>(b)</w:t>
            </w:r>
          </w:p>
        </w:tc>
        <w:tc>
          <w:tcPr>
            <w:tcW w:w="4715" w:type="dxa"/>
          </w:tcPr>
          <w:p w14:paraId="6DD110AC" w14:textId="77777777" w:rsidR="009D0B59" w:rsidRPr="009D0B59" w:rsidRDefault="009D0B59" w:rsidP="00CC6A1F">
            <w:pPr>
              <w:rPr>
                <w:bCs/>
              </w:rPr>
            </w:pPr>
            <w:r w:rsidRPr="009D0B59">
              <w:rPr>
                <w:bCs/>
              </w:rPr>
              <w:t>whenever there is a material change in the methodology used for determining the benchmark or, if the benchmark statement is for a family of benchmarks, in the methodology used for determining any benchmark within the family of benchmarks.</w:t>
            </w:r>
          </w:p>
        </w:tc>
        <w:tc>
          <w:tcPr>
            <w:tcW w:w="3945" w:type="dxa"/>
          </w:tcPr>
          <w:p w14:paraId="08798F33" w14:textId="77777777" w:rsidR="009D0B59" w:rsidRPr="00D56471" w:rsidRDefault="009D0B59" w:rsidP="00CC6A1F">
            <w:r w:rsidRPr="00D56471">
              <w:t xml:space="preserve">This Benchmark Statement shall </w:t>
            </w:r>
            <w:proofErr w:type="gramStart"/>
            <w:r w:rsidRPr="00D56471">
              <w:t>be updated</w:t>
            </w:r>
            <w:proofErr w:type="gramEnd"/>
            <w:r w:rsidRPr="00D56471">
              <w:t xml:space="preserve"> where</w:t>
            </w:r>
            <w:r w:rsidRPr="00D56471" w:rsidDel="00FC4DC4">
              <w:t xml:space="preserve"> </w:t>
            </w:r>
            <w:r w:rsidRPr="00D56471">
              <w:t xml:space="preserve">there is a material change in the methodology used for determining the </w:t>
            </w:r>
            <w:r>
              <w:t>B</w:t>
            </w:r>
            <w:r w:rsidRPr="00D56471">
              <w:t>enchmark</w:t>
            </w:r>
            <w:r>
              <w:t>s .</w:t>
            </w:r>
          </w:p>
          <w:p w14:paraId="3A773C9E" w14:textId="77777777" w:rsidR="009D0B59" w:rsidRDefault="009D0B59" w:rsidP="00CC6A1F"/>
        </w:tc>
      </w:tr>
    </w:tbl>
    <w:p w14:paraId="15CDC2A8" w14:textId="77777777" w:rsidR="002F2F15" w:rsidRDefault="002F2F15" w:rsidP="00F91F12">
      <w:pPr>
        <w:pStyle w:val="BodyText"/>
      </w:pPr>
    </w:p>
    <w:p w14:paraId="11B153B1" w14:textId="77777777" w:rsidR="009D0B59" w:rsidRDefault="009D0B59" w:rsidP="00F91F12">
      <w:pPr>
        <w:pStyle w:val="BodyText"/>
      </w:pPr>
    </w:p>
    <w:p w14:paraId="5AE46AAA" w14:textId="77777777" w:rsidR="009D0B59" w:rsidRDefault="009D0B59" w:rsidP="00F91F12">
      <w:pPr>
        <w:pStyle w:val="BodyText"/>
      </w:pPr>
    </w:p>
    <w:p w14:paraId="07DCF2E6" w14:textId="77777777" w:rsidR="007C2183" w:rsidRPr="003F1C39" w:rsidRDefault="007C2183" w:rsidP="003F1C39">
      <w:r w:rsidRPr="003F1C39">
        <w:br w:type="page"/>
      </w:r>
    </w:p>
    <w:p w14:paraId="425F0DB0" w14:textId="77777777" w:rsidR="009D0B59" w:rsidRPr="00B411D2" w:rsidRDefault="009D0B59" w:rsidP="009D0B59">
      <w:pPr>
        <w:pStyle w:val="Heading1"/>
        <w:numPr>
          <w:ilvl w:val="0"/>
          <w:numId w:val="10"/>
        </w:numPr>
        <w:ind w:left="720" w:hanging="720"/>
        <w:rPr>
          <w:sz w:val="28"/>
          <w:szCs w:val="28"/>
        </w:rPr>
      </w:pPr>
      <w:bookmarkStart w:id="1" w:name="_Toc58577521"/>
      <w:r w:rsidRPr="00B411D2">
        <w:rPr>
          <w:sz w:val="28"/>
          <w:szCs w:val="28"/>
        </w:rPr>
        <w:lastRenderedPageBreak/>
        <w:t>Appendix I – Key Terms &amp; Definitions</w:t>
      </w:r>
      <w:bookmarkEnd w:id="1"/>
    </w:p>
    <w:p w14:paraId="539CF240" w14:textId="77777777" w:rsidR="009D0B59" w:rsidRDefault="009D0B59" w:rsidP="009D0B59">
      <w:pPr>
        <w:pStyle w:val="BodyText"/>
      </w:pPr>
      <w:r w:rsidRPr="009D0B59">
        <w:t xml:space="preserve">Capitalised terms used in this Benchmark Statement that </w:t>
      </w:r>
      <w:proofErr w:type="gramStart"/>
      <w:r w:rsidRPr="009D0B59">
        <w:t>are not otherwise defined</w:t>
      </w:r>
      <w:proofErr w:type="gramEnd"/>
      <w:r w:rsidRPr="009D0B59">
        <w:t xml:space="preserve"> have the meaning set out below:</w:t>
      </w:r>
    </w:p>
    <w:tbl>
      <w:tblPr>
        <w:tblStyle w:val="GridTable4"/>
        <w:tblW w:w="5000" w:type="pct"/>
        <w:tblLook w:val="04A0" w:firstRow="1" w:lastRow="0" w:firstColumn="1" w:lastColumn="0" w:noHBand="0" w:noVBand="1"/>
      </w:tblPr>
      <w:tblGrid>
        <w:gridCol w:w="2766"/>
        <w:gridCol w:w="6958"/>
      </w:tblGrid>
      <w:tr w:rsidR="009D0B59" w14:paraId="6CD84011" w14:textId="77777777" w:rsidTr="00CC6A1F">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422" w:type="pct"/>
            <w:vAlign w:val="center"/>
          </w:tcPr>
          <w:p w14:paraId="47066EDF" w14:textId="77777777" w:rsidR="009D0B59" w:rsidRPr="002D0343" w:rsidRDefault="009D0B59" w:rsidP="00CC6A1F">
            <w:pPr>
              <w:pStyle w:val="NameJobTitle"/>
              <w:spacing w:before="0" w:after="0"/>
              <w:jc w:val="center"/>
              <w:rPr>
                <w:color w:val="FFFFFF" w:themeColor="background2"/>
              </w:rPr>
            </w:pPr>
            <w:r>
              <w:rPr>
                <w:color w:val="FFFFFF" w:themeColor="background2"/>
              </w:rPr>
              <w:t>TERM</w:t>
            </w:r>
          </w:p>
        </w:tc>
        <w:tc>
          <w:tcPr>
            <w:tcW w:w="3578" w:type="pct"/>
            <w:vAlign w:val="center"/>
          </w:tcPr>
          <w:p w14:paraId="5CD830E2" w14:textId="77777777" w:rsidR="009D0B59" w:rsidRPr="002D0343" w:rsidRDefault="009D0B59" w:rsidP="00CC6A1F">
            <w:pPr>
              <w:pStyle w:val="NameJobTitle"/>
              <w:spacing w:before="0" w:after="0"/>
              <w:jc w:val="cente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DESCRIPTION</w:t>
            </w:r>
          </w:p>
        </w:tc>
      </w:tr>
      <w:tr w:rsidR="006C514E" w14:paraId="333A2C99" w14:textId="77777777" w:rsidTr="0035069C">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1422" w:type="pct"/>
            <w:shd w:val="clear" w:color="auto" w:fill="auto"/>
            <w:vAlign w:val="center"/>
          </w:tcPr>
          <w:p w14:paraId="3F1EB094" w14:textId="77777777" w:rsidR="006C514E" w:rsidRPr="006368B4" w:rsidRDefault="006C514E" w:rsidP="0035069C">
            <w:pPr>
              <w:rPr>
                <w:szCs w:val="20"/>
              </w:rPr>
            </w:pPr>
            <w:r w:rsidRPr="006368B4">
              <w:rPr>
                <w:szCs w:val="20"/>
              </w:rPr>
              <w:t>Administrator</w:t>
            </w:r>
          </w:p>
        </w:tc>
        <w:tc>
          <w:tcPr>
            <w:tcW w:w="3578" w:type="pct"/>
            <w:shd w:val="clear" w:color="auto" w:fill="auto"/>
            <w:vAlign w:val="center"/>
          </w:tcPr>
          <w:p w14:paraId="176906E5" w14:textId="77777777" w:rsidR="006C514E" w:rsidRPr="006368B4" w:rsidRDefault="006C514E" w:rsidP="0035069C">
            <w:pPr>
              <w:cnfStyle w:val="000000100000" w:firstRow="0" w:lastRow="0" w:firstColumn="0" w:lastColumn="0" w:oddVBand="0" w:evenVBand="0" w:oddHBand="1" w:evenHBand="0" w:firstRowFirstColumn="0" w:firstRowLastColumn="0" w:lastRowFirstColumn="0" w:lastRowLastColumn="0"/>
              <w:rPr>
                <w:szCs w:val="20"/>
              </w:rPr>
            </w:pPr>
            <w:r w:rsidRPr="006368B4">
              <w:rPr>
                <w:szCs w:val="20"/>
              </w:rPr>
              <w:t>CME Group Benchmark Administration Limited</w:t>
            </w:r>
          </w:p>
        </w:tc>
      </w:tr>
      <w:tr w:rsidR="006C514E" w14:paraId="1AF31E83" w14:textId="77777777" w:rsidTr="0035069C">
        <w:trPr>
          <w:trHeight w:val="409"/>
        </w:trPr>
        <w:tc>
          <w:tcPr>
            <w:cnfStyle w:val="001000000000" w:firstRow="0" w:lastRow="0" w:firstColumn="1" w:lastColumn="0" w:oddVBand="0" w:evenVBand="0" w:oddHBand="0" w:evenHBand="0" w:firstRowFirstColumn="0" w:firstRowLastColumn="0" w:lastRowFirstColumn="0" w:lastRowLastColumn="0"/>
            <w:tcW w:w="1422" w:type="pct"/>
            <w:shd w:val="clear" w:color="auto" w:fill="auto"/>
            <w:vAlign w:val="center"/>
          </w:tcPr>
          <w:p w14:paraId="77365469" w14:textId="77777777" w:rsidR="006C514E" w:rsidRPr="006368B4" w:rsidRDefault="006C514E" w:rsidP="0035069C">
            <w:pPr>
              <w:rPr>
                <w:szCs w:val="20"/>
              </w:rPr>
            </w:pPr>
            <w:r w:rsidRPr="006368B4">
              <w:rPr>
                <w:szCs w:val="20"/>
              </w:rPr>
              <w:t>CBA</w:t>
            </w:r>
          </w:p>
        </w:tc>
        <w:tc>
          <w:tcPr>
            <w:tcW w:w="3578" w:type="pct"/>
            <w:shd w:val="clear" w:color="auto" w:fill="auto"/>
            <w:vAlign w:val="center"/>
          </w:tcPr>
          <w:p w14:paraId="7A5145E3" w14:textId="77777777" w:rsidR="006C514E" w:rsidRPr="006368B4" w:rsidRDefault="006C514E" w:rsidP="0035069C">
            <w:pPr>
              <w:cnfStyle w:val="000000000000" w:firstRow="0" w:lastRow="0" w:firstColumn="0" w:lastColumn="0" w:oddVBand="0" w:evenVBand="0" w:oddHBand="0" w:evenHBand="0" w:firstRowFirstColumn="0" w:firstRowLastColumn="0" w:lastRowFirstColumn="0" w:lastRowLastColumn="0"/>
              <w:rPr>
                <w:szCs w:val="20"/>
              </w:rPr>
            </w:pPr>
            <w:r w:rsidRPr="006368B4">
              <w:rPr>
                <w:szCs w:val="20"/>
              </w:rPr>
              <w:t>CME Group Benchmark Administration Limited</w:t>
            </w:r>
          </w:p>
        </w:tc>
      </w:tr>
      <w:tr w:rsidR="00BD5AD2" w14:paraId="58F8EB13" w14:textId="77777777" w:rsidTr="0035069C">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1422" w:type="pct"/>
            <w:shd w:val="clear" w:color="auto" w:fill="auto"/>
            <w:vAlign w:val="center"/>
          </w:tcPr>
          <w:p w14:paraId="12D0620D" w14:textId="77777777" w:rsidR="00BD5AD2" w:rsidRPr="006368B4" w:rsidRDefault="00BD5AD2" w:rsidP="0035069C">
            <w:pPr>
              <w:rPr>
                <w:szCs w:val="20"/>
              </w:rPr>
            </w:pPr>
            <w:r w:rsidRPr="006368B4">
              <w:rPr>
                <w:szCs w:val="20"/>
              </w:rPr>
              <w:t>BMR</w:t>
            </w:r>
          </w:p>
        </w:tc>
        <w:tc>
          <w:tcPr>
            <w:tcW w:w="3578" w:type="pct"/>
            <w:shd w:val="clear" w:color="auto" w:fill="auto"/>
            <w:vAlign w:val="center"/>
          </w:tcPr>
          <w:p w14:paraId="5F4E46A4" w14:textId="77777777" w:rsidR="00BD5AD2" w:rsidRPr="00E926F1" w:rsidRDefault="006C514E" w:rsidP="0035069C">
            <w:pPr>
              <w:cnfStyle w:val="000000100000" w:firstRow="0" w:lastRow="0" w:firstColumn="0" w:lastColumn="0" w:oddVBand="0" w:evenVBand="0" w:oddHBand="1" w:evenHBand="0" w:firstRowFirstColumn="0" w:firstRowLastColumn="0" w:lastRowFirstColumn="0" w:lastRowLastColumn="0"/>
              <w:rPr>
                <w:szCs w:val="20"/>
                <w:lang w:val="en-US"/>
              </w:rPr>
            </w:pPr>
            <w:r w:rsidRPr="00F10441">
              <w:rPr>
                <w:szCs w:val="20"/>
              </w:rPr>
              <w:t>Benchmark Regulation</w:t>
            </w:r>
          </w:p>
        </w:tc>
      </w:tr>
      <w:tr w:rsidR="006C514E" w14:paraId="4CEF460D" w14:textId="77777777" w:rsidTr="0035069C">
        <w:trPr>
          <w:trHeight w:val="409"/>
        </w:trPr>
        <w:tc>
          <w:tcPr>
            <w:cnfStyle w:val="001000000000" w:firstRow="0" w:lastRow="0" w:firstColumn="1" w:lastColumn="0" w:oddVBand="0" w:evenVBand="0" w:oddHBand="0" w:evenHBand="0" w:firstRowFirstColumn="0" w:firstRowLastColumn="0" w:lastRowFirstColumn="0" w:lastRowLastColumn="0"/>
            <w:tcW w:w="1422" w:type="pct"/>
            <w:shd w:val="clear" w:color="auto" w:fill="auto"/>
            <w:vAlign w:val="center"/>
          </w:tcPr>
          <w:p w14:paraId="77F7522C" w14:textId="77777777" w:rsidR="006C514E" w:rsidRPr="006368B4" w:rsidRDefault="006C514E" w:rsidP="0035069C">
            <w:pPr>
              <w:rPr>
                <w:szCs w:val="20"/>
              </w:rPr>
            </w:pPr>
            <w:r w:rsidRPr="00947CB1">
              <w:rPr>
                <w:szCs w:val="20"/>
              </w:rPr>
              <w:t>FED</w:t>
            </w:r>
          </w:p>
        </w:tc>
        <w:tc>
          <w:tcPr>
            <w:tcW w:w="3578" w:type="pct"/>
            <w:shd w:val="clear" w:color="auto" w:fill="auto"/>
            <w:vAlign w:val="center"/>
          </w:tcPr>
          <w:p w14:paraId="66184A82" w14:textId="77777777" w:rsidR="006C514E" w:rsidRPr="006368B4" w:rsidRDefault="006C514E" w:rsidP="0035069C">
            <w:pPr>
              <w:cnfStyle w:val="000000000000" w:firstRow="0" w:lastRow="0" w:firstColumn="0" w:lastColumn="0" w:oddVBand="0" w:evenVBand="0" w:oddHBand="0" w:evenHBand="0" w:firstRowFirstColumn="0" w:firstRowLastColumn="0" w:lastRowFirstColumn="0" w:lastRowLastColumn="0"/>
              <w:rPr>
                <w:szCs w:val="20"/>
              </w:rPr>
            </w:pPr>
            <w:r w:rsidRPr="006368B4">
              <w:rPr>
                <w:szCs w:val="20"/>
                <w:lang w:val="en-US"/>
              </w:rPr>
              <w:t>Federal Reserve System</w:t>
            </w:r>
          </w:p>
        </w:tc>
      </w:tr>
      <w:tr w:rsidR="006C514E" w14:paraId="7C803F7B" w14:textId="77777777" w:rsidTr="0035069C">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1422" w:type="pct"/>
            <w:shd w:val="clear" w:color="auto" w:fill="auto"/>
            <w:vAlign w:val="center"/>
          </w:tcPr>
          <w:p w14:paraId="125F3EFC" w14:textId="77777777" w:rsidR="006C514E" w:rsidRPr="006368B4" w:rsidRDefault="006C514E" w:rsidP="0035069C">
            <w:pPr>
              <w:rPr>
                <w:szCs w:val="20"/>
              </w:rPr>
            </w:pPr>
            <w:r w:rsidRPr="006368B4">
              <w:rPr>
                <w:szCs w:val="20"/>
              </w:rPr>
              <w:t>NY FED</w:t>
            </w:r>
          </w:p>
        </w:tc>
        <w:tc>
          <w:tcPr>
            <w:tcW w:w="3578" w:type="pct"/>
            <w:shd w:val="clear" w:color="auto" w:fill="auto"/>
            <w:vAlign w:val="center"/>
          </w:tcPr>
          <w:p w14:paraId="6B00105A" w14:textId="77777777" w:rsidR="006C514E" w:rsidRPr="006368B4" w:rsidRDefault="006C514E" w:rsidP="0035069C">
            <w:pPr>
              <w:cnfStyle w:val="000000100000" w:firstRow="0" w:lastRow="0" w:firstColumn="0" w:lastColumn="0" w:oddVBand="0" w:evenVBand="0" w:oddHBand="1" w:evenHBand="0" w:firstRowFirstColumn="0" w:firstRowLastColumn="0" w:lastRowFirstColumn="0" w:lastRowLastColumn="0"/>
              <w:rPr>
                <w:szCs w:val="20"/>
              </w:rPr>
            </w:pPr>
            <w:r w:rsidRPr="006368B4">
              <w:rPr>
                <w:szCs w:val="20"/>
              </w:rPr>
              <w:t>Federal Reserve Bank of New York</w:t>
            </w:r>
          </w:p>
        </w:tc>
      </w:tr>
      <w:tr w:rsidR="006C514E" w14:paraId="4571E66D" w14:textId="77777777" w:rsidTr="0035069C">
        <w:trPr>
          <w:trHeight w:val="409"/>
        </w:trPr>
        <w:tc>
          <w:tcPr>
            <w:cnfStyle w:val="001000000000" w:firstRow="0" w:lastRow="0" w:firstColumn="1" w:lastColumn="0" w:oddVBand="0" w:evenVBand="0" w:oddHBand="0" w:evenHBand="0" w:firstRowFirstColumn="0" w:firstRowLastColumn="0" w:lastRowFirstColumn="0" w:lastRowLastColumn="0"/>
            <w:tcW w:w="1422" w:type="pct"/>
            <w:shd w:val="clear" w:color="auto" w:fill="auto"/>
            <w:vAlign w:val="center"/>
          </w:tcPr>
          <w:p w14:paraId="4F937350" w14:textId="77777777" w:rsidR="006C514E" w:rsidRPr="006368B4" w:rsidRDefault="006C514E" w:rsidP="0035069C">
            <w:pPr>
              <w:rPr>
                <w:szCs w:val="20"/>
              </w:rPr>
            </w:pPr>
            <w:r w:rsidRPr="006368B4">
              <w:rPr>
                <w:szCs w:val="20"/>
              </w:rPr>
              <w:t>RTS</w:t>
            </w:r>
          </w:p>
        </w:tc>
        <w:tc>
          <w:tcPr>
            <w:tcW w:w="3578" w:type="pct"/>
            <w:shd w:val="clear" w:color="auto" w:fill="auto"/>
            <w:vAlign w:val="center"/>
          </w:tcPr>
          <w:p w14:paraId="66BB95E2" w14:textId="6C115CEF" w:rsidR="006C514E" w:rsidRPr="006368B4" w:rsidRDefault="006C514E" w:rsidP="0035069C">
            <w:pPr>
              <w:cnfStyle w:val="000000000000" w:firstRow="0" w:lastRow="0" w:firstColumn="0" w:lastColumn="0" w:oddVBand="0" w:evenVBand="0" w:oddHBand="0" w:evenHBand="0" w:firstRowFirstColumn="0" w:firstRowLastColumn="0" w:lastRowFirstColumn="0" w:lastRowLastColumn="0"/>
              <w:rPr>
                <w:szCs w:val="20"/>
              </w:rPr>
            </w:pPr>
            <w:r w:rsidRPr="00003D7E">
              <w:rPr>
                <w:szCs w:val="20"/>
              </w:rPr>
              <w:t>Regulatory Technical Standard</w:t>
            </w:r>
          </w:p>
        </w:tc>
      </w:tr>
      <w:tr w:rsidR="006C514E" w14:paraId="0F2E24CF" w14:textId="77777777" w:rsidTr="0035069C">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1422" w:type="pct"/>
            <w:shd w:val="clear" w:color="auto" w:fill="auto"/>
            <w:vAlign w:val="center"/>
          </w:tcPr>
          <w:p w14:paraId="3DA1CFF2" w14:textId="77777777" w:rsidR="006C514E" w:rsidRPr="006368B4" w:rsidRDefault="006C514E" w:rsidP="0035069C">
            <w:pPr>
              <w:rPr>
                <w:szCs w:val="20"/>
                <w:lang w:val="en-US"/>
              </w:rPr>
            </w:pPr>
            <w:r w:rsidRPr="006368B4">
              <w:rPr>
                <w:szCs w:val="20"/>
              </w:rPr>
              <w:t>SOFR</w:t>
            </w:r>
          </w:p>
        </w:tc>
        <w:tc>
          <w:tcPr>
            <w:tcW w:w="3578" w:type="pct"/>
            <w:shd w:val="clear" w:color="auto" w:fill="auto"/>
            <w:vAlign w:val="center"/>
          </w:tcPr>
          <w:p w14:paraId="03B3436B" w14:textId="77777777" w:rsidR="006C514E" w:rsidRPr="006368B4" w:rsidRDefault="006C514E" w:rsidP="0035069C">
            <w:pPr>
              <w:cnfStyle w:val="000000100000" w:firstRow="0" w:lastRow="0" w:firstColumn="0" w:lastColumn="0" w:oddVBand="0" w:evenVBand="0" w:oddHBand="1" w:evenHBand="0" w:firstRowFirstColumn="0" w:firstRowLastColumn="0" w:lastRowFirstColumn="0" w:lastRowLastColumn="0"/>
              <w:rPr>
                <w:szCs w:val="20"/>
                <w:lang w:val="en-US"/>
              </w:rPr>
            </w:pPr>
            <w:r w:rsidRPr="006368B4">
              <w:rPr>
                <w:szCs w:val="20"/>
              </w:rPr>
              <w:t>Secured Overnight Financing Rate</w:t>
            </w:r>
          </w:p>
        </w:tc>
      </w:tr>
    </w:tbl>
    <w:p w14:paraId="329A119E" w14:textId="77777777" w:rsidR="009D0B59" w:rsidRDefault="009D0B59" w:rsidP="009D0B59"/>
    <w:p w14:paraId="5BA2B8BB" w14:textId="77777777" w:rsidR="007C2183" w:rsidRPr="007C2183" w:rsidRDefault="007C2183" w:rsidP="008C2922">
      <w:pPr>
        <w:pStyle w:val="BodyTextwithLine"/>
      </w:pPr>
    </w:p>
    <w:p w14:paraId="1659403D" w14:textId="77777777" w:rsidR="00F70D56" w:rsidRDefault="00F70D56" w:rsidP="009262E6">
      <w:pPr>
        <w:sectPr w:rsidR="00F70D56" w:rsidSect="00EB2979">
          <w:headerReference w:type="default" r:id="rId16"/>
          <w:footerReference w:type="default" r:id="rId17"/>
          <w:headerReference w:type="first" r:id="rId18"/>
          <w:pgSz w:w="11894" w:h="16834" w:code="1"/>
          <w:pgMar w:top="2304" w:right="1080" w:bottom="1440" w:left="1080" w:header="1080" w:footer="576" w:gutter="0"/>
          <w:cols w:space="708"/>
          <w:docGrid w:linePitch="360"/>
        </w:sectPr>
      </w:pPr>
    </w:p>
    <w:p w14:paraId="79022053" w14:textId="77777777" w:rsidR="00F70D56" w:rsidRPr="00A935EF" w:rsidRDefault="00F70D56" w:rsidP="00F70D56">
      <w:pPr>
        <w:keepNext/>
        <w:keepLines/>
        <w:numPr>
          <w:ilvl w:val="0"/>
          <w:numId w:val="10"/>
        </w:numPr>
        <w:ind w:left="461" w:hanging="461"/>
        <w:outlineLvl w:val="0"/>
        <w:rPr>
          <w:rFonts w:ascii="Arial" w:eastAsiaTheme="majorEastAsia" w:hAnsi="Arial" w:cs="Arial"/>
          <w:b/>
          <w:bCs/>
          <w:color w:val="25A9E0" w:themeColor="text2"/>
          <w:sz w:val="28"/>
          <w:szCs w:val="44"/>
        </w:rPr>
      </w:pPr>
      <w:bookmarkStart w:id="2" w:name="_Toc63330871"/>
      <w:r w:rsidRPr="00A935EF">
        <w:rPr>
          <w:rFonts w:ascii="Arial" w:eastAsiaTheme="majorEastAsia" w:hAnsi="Arial" w:cs="Arial"/>
          <w:b/>
          <w:bCs/>
          <w:color w:val="25A9E0" w:themeColor="text2"/>
          <w:sz w:val="28"/>
          <w:szCs w:val="44"/>
        </w:rPr>
        <w:lastRenderedPageBreak/>
        <w:t>Appendix II – ESG Disclosures</w:t>
      </w:r>
      <w:bookmarkEnd w:id="2"/>
    </w:p>
    <w:p w14:paraId="619F0AE2" w14:textId="77777777" w:rsidR="00F70D56" w:rsidRPr="00A935EF" w:rsidRDefault="00F70D56" w:rsidP="00F70D56"/>
    <w:p w14:paraId="2D716E53" w14:textId="77777777" w:rsidR="00F70D56" w:rsidRPr="00A935EF" w:rsidRDefault="00F70D56" w:rsidP="00F70D56"/>
    <w:tbl>
      <w:tblPr>
        <w:tblStyle w:val="GridTable4"/>
        <w:tblW w:w="5000" w:type="pct"/>
        <w:tblLook w:val="04A0" w:firstRow="1" w:lastRow="0" w:firstColumn="1" w:lastColumn="0" w:noHBand="0" w:noVBand="1"/>
      </w:tblPr>
      <w:tblGrid>
        <w:gridCol w:w="988"/>
        <w:gridCol w:w="5103"/>
        <w:gridCol w:w="3633"/>
      </w:tblGrid>
      <w:tr w:rsidR="00F70D56" w:rsidRPr="00A935EF" w14:paraId="2DDA9A5C" w14:textId="77777777" w:rsidTr="00BD5148">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5000" w:type="pct"/>
            <w:gridSpan w:val="3"/>
          </w:tcPr>
          <w:p w14:paraId="73A2210B" w14:textId="77777777" w:rsidR="00F70D56" w:rsidRPr="00A935EF" w:rsidRDefault="00F70D56" w:rsidP="00BD5148">
            <w:pPr>
              <w:spacing w:line="260" w:lineRule="exact"/>
              <w:contextualSpacing/>
              <w:jc w:val="center"/>
              <w:rPr>
                <w:rFonts w:ascii="Arial" w:hAnsi="Arial" w:cs="Arial"/>
                <w:b w:val="0"/>
                <w:bCs w:val="0"/>
                <w:color w:val="FFFFFF" w:themeColor="background2"/>
                <w:szCs w:val="20"/>
              </w:rPr>
            </w:pPr>
            <w:r w:rsidRPr="00A935EF">
              <w:rPr>
                <w:rFonts w:ascii="Arial" w:hAnsi="Arial" w:cs="Arial"/>
                <w:b w:val="0"/>
                <w:bCs w:val="0"/>
                <w:color w:val="FFFFFF" w:themeColor="background2"/>
                <w:szCs w:val="20"/>
              </w:rPr>
              <w:t>Explanation of how ESG Factors are Reflected in the Key Elements of the Benchmark Methodology</w:t>
            </w:r>
          </w:p>
        </w:tc>
      </w:tr>
      <w:tr w:rsidR="00F70D56" w:rsidRPr="00A935EF" w14:paraId="44861AFF" w14:textId="77777777" w:rsidTr="00BD5148">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508" w:type="pct"/>
            <w:shd w:val="clear" w:color="auto" w:fill="auto"/>
          </w:tcPr>
          <w:p w14:paraId="36607C89" w14:textId="77777777" w:rsidR="00F70D56" w:rsidRPr="00A935EF" w:rsidRDefault="00F70D56" w:rsidP="00BD5148">
            <w:pPr>
              <w:rPr>
                <w:rFonts w:cstheme="minorHAnsi"/>
                <w:b w:val="0"/>
                <w:bCs w:val="0"/>
                <w:szCs w:val="20"/>
              </w:rPr>
            </w:pPr>
            <w:r>
              <w:t>Item 1</w:t>
            </w:r>
          </w:p>
        </w:tc>
        <w:tc>
          <w:tcPr>
            <w:tcW w:w="2624" w:type="pct"/>
            <w:shd w:val="clear" w:color="auto" w:fill="auto"/>
          </w:tcPr>
          <w:p w14:paraId="2E9667B1" w14:textId="77777777" w:rsidR="00F70D56" w:rsidRPr="00A935EF" w:rsidRDefault="00F70D56" w:rsidP="00BD5148">
            <w:pPr>
              <w:cnfStyle w:val="000000100000" w:firstRow="0" w:lastRow="0" w:firstColumn="0" w:lastColumn="0" w:oddVBand="0" w:evenVBand="0" w:oddHBand="1" w:evenHBand="0" w:firstRowFirstColumn="0" w:firstRowLastColumn="0" w:lastRowFirstColumn="0" w:lastRowLastColumn="0"/>
              <w:rPr>
                <w:rFonts w:cstheme="minorHAnsi"/>
                <w:szCs w:val="20"/>
              </w:rPr>
            </w:pPr>
            <w:r w:rsidRPr="0046281D">
              <w:t>Name of the benchmark administrator.</w:t>
            </w:r>
          </w:p>
        </w:tc>
        <w:tc>
          <w:tcPr>
            <w:tcW w:w="1868" w:type="pct"/>
            <w:shd w:val="clear" w:color="auto" w:fill="auto"/>
          </w:tcPr>
          <w:p w14:paraId="5B14B58F" w14:textId="77777777" w:rsidR="00F70D56" w:rsidRDefault="00F70D56" w:rsidP="00BD5148">
            <w:pPr>
              <w:cnfStyle w:val="000000100000" w:firstRow="0" w:lastRow="0" w:firstColumn="0" w:lastColumn="0" w:oddVBand="0" w:evenVBand="0" w:oddHBand="1" w:evenHBand="0" w:firstRowFirstColumn="0" w:firstRowLastColumn="0" w:lastRowFirstColumn="0" w:lastRowLastColumn="0"/>
            </w:pPr>
            <w:r>
              <w:t>CME Benchmark Administration Limited</w:t>
            </w:r>
          </w:p>
        </w:tc>
      </w:tr>
      <w:tr w:rsidR="00F70D56" w:rsidRPr="00A935EF" w14:paraId="3843F247" w14:textId="77777777" w:rsidTr="00BD5148">
        <w:trPr>
          <w:trHeight w:val="409"/>
        </w:trPr>
        <w:tc>
          <w:tcPr>
            <w:cnfStyle w:val="001000000000" w:firstRow="0" w:lastRow="0" w:firstColumn="1" w:lastColumn="0" w:oddVBand="0" w:evenVBand="0" w:oddHBand="0" w:evenHBand="0" w:firstRowFirstColumn="0" w:firstRowLastColumn="0" w:lastRowFirstColumn="0" w:lastRowLastColumn="0"/>
            <w:tcW w:w="508" w:type="pct"/>
            <w:shd w:val="clear" w:color="auto" w:fill="auto"/>
          </w:tcPr>
          <w:p w14:paraId="67C67FA0" w14:textId="77777777" w:rsidR="00F70D56" w:rsidRPr="00A935EF" w:rsidRDefault="00F70D56" w:rsidP="00BD5148">
            <w:pPr>
              <w:rPr>
                <w:rFonts w:cstheme="minorHAnsi"/>
                <w:b w:val="0"/>
                <w:bCs w:val="0"/>
                <w:szCs w:val="20"/>
              </w:rPr>
            </w:pPr>
            <w:r>
              <w:t>Item 2</w:t>
            </w:r>
          </w:p>
        </w:tc>
        <w:tc>
          <w:tcPr>
            <w:tcW w:w="2624" w:type="pct"/>
            <w:shd w:val="clear" w:color="auto" w:fill="auto"/>
          </w:tcPr>
          <w:p w14:paraId="451B18E8" w14:textId="77777777" w:rsidR="00F70D56" w:rsidRDefault="00F70D56" w:rsidP="00BD5148">
            <w:pPr>
              <w:cnfStyle w:val="000000000000" w:firstRow="0" w:lastRow="0" w:firstColumn="0" w:lastColumn="0" w:oddVBand="0" w:evenVBand="0" w:oddHBand="0" w:evenHBand="0" w:firstRowFirstColumn="0" w:firstRowLastColumn="0" w:lastRowFirstColumn="0" w:lastRowLastColumn="0"/>
            </w:pPr>
            <w:r>
              <w:t>Type of benchmark or family of benchmarks.</w:t>
            </w:r>
          </w:p>
          <w:p w14:paraId="3B9758D1" w14:textId="77777777" w:rsidR="00F70D56" w:rsidRPr="00A935EF" w:rsidRDefault="00F70D56" w:rsidP="00BD5148">
            <w:pPr>
              <w:cnfStyle w:val="000000000000" w:firstRow="0" w:lastRow="0" w:firstColumn="0" w:lastColumn="0" w:oddVBand="0" w:evenVBand="0" w:oddHBand="0" w:evenHBand="0" w:firstRowFirstColumn="0" w:firstRowLastColumn="0" w:lastRowFirstColumn="0" w:lastRowLastColumn="0"/>
            </w:pPr>
          </w:p>
        </w:tc>
        <w:tc>
          <w:tcPr>
            <w:tcW w:w="1868" w:type="pct"/>
            <w:shd w:val="clear" w:color="auto" w:fill="auto"/>
          </w:tcPr>
          <w:p w14:paraId="38373047" w14:textId="42C74715" w:rsidR="00F70D56" w:rsidRPr="00F9265C" w:rsidRDefault="00F70D56" w:rsidP="00BD5148">
            <w:pPr>
              <w:cnfStyle w:val="000000000000" w:firstRow="0" w:lastRow="0" w:firstColumn="0" w:lastColumn="0" w:oddVBand="0" w:evenVBand="0" w:oddHBand="0" w:evenHBand="0" w:firstRowFirstColumn="0" w:firstRowLastColumn="0" w:lastRowFirstColumn="0" w:lastRowLastColumn="0"/>
            </w:pPr>
            <w:r>
              <w:t>Fixed Income</w:t>
            </w:r>
          </w:p>
        </w:tc>
      </w:tr>
      <w:tr w:rsidR="00F70D56" w:rsidRPr="00A935EF" w14:paraId="3499A6D6" w14:textId="77777777" w:rsidTr="00BD5148">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508" w:type="pct"/>
            <w:shd w:val="clear" w:color="auto" w:fill="auto"/>
          </w:tcPr>
          <w:p w14:paraId="21B26982" w14:textId="77777777" w:rsidR="00F70D56" w:rsidRPr="00A935EF" w:rsidRDefault="00F70D56" w:rsidP="00BD5148">
            <w:pPr>
              <w:rPr>
                <w:rFonts w:cstheme="minorHAnsi"/>
                <w:b w:val="0"/>
                <w:bCs w:val="0"/>
                <w:szCs w:val="20"/>
              </w:rPr>
            </w:pPr>
            <w:r>
              <w:t>Item 3</w:t>
            </w:r>
          </w:p>
        </w:tc>
        <w:tc>
          <w:tcPr>
            <w:tcW w:w="2624" w:type="pct"/>
            <w:shd w:val="clear" w:color="auto" w:fill="auto"/>
          </w:tcPr>
          <w:p w14:paraId="5486604A" w14:textId="77777777" w:rsidR="00F70D56" w:rsidRPr="00A935EF" w:rsidRDefault="00F70D56" w:rsidP="00BD5148">
            <w:pPr>
              <w:cnfStyle w:val="000000100000" w:firstRow="0" w:lastRow="0" w:firstColumn="0" w:lastColumn="0" w:oddVBand="0" w:evenVBand="0" w:oddHBand="1" w:evenHBand="0" w:firstRowFirstColumn="0" w:firstRowLastColumn="0" w:lastRowFirstColumn="0" w:lastRowLastColumn="0"/>
              <w:rPr>
                <w:rFonts w:cstheme="minorHAnsi"/>
                <w:szCs w:val="20"/>
              </w:rPr>
            </w:pPr>
            <w:r w:rsidRPr="00792EB5">
              <w:t>Name of the benchmark or family of benchmarks.</w:t>
            </w:r>
          </w:p>
        </w:tc>
        <w:tc>
          <w:tcPr>
            <w:tcW w:w="1868" w:type="pct"/>
            <w:shd w:val="clear" w:color="auto" w:fill="auto"/>
          </w:tcPr>
          <w:p w14:paraId="4228DC56" w14:textId="533CE2AB" w:rsidR="00F70D56" w:rsidRPr="00582FDF" w:rsidRDefault="00F70D56" w:rsidP="00BD5148">
            <w:pPr>
              <w:cnfStyle w:val="000000100000" w:firstRow="0" w:lastRow="0" w:firstColumn="0" w:lastColumn="0" w:oddVBand="0" w:evenVBand="0" w:oddHBand="1" w:evenHBand="0" w:firstRowFirstColumn="0" w:firstRowLastColumn="0" w:lastRowFirstColumn="0" w:lastRowLastColumn="0"/>
            </w:pPr>
            <w:r w:rsidRPr="008F1A7B">
              <w:t xml:space="preserve">CME Term SOFR Daily </w:t>
            </w:r>
            <w:r w:rsidR="007F70EA">
              <w:t>Return Indices</w:t>
            </w:r>
          </w:p>
        </w:tc>
      </w:tr>
      <w:tr w:rsidR="00F70D56" w:rsidRPr="00A935EF" w14:paraId="43158EC6" w14:textId="77777777" w:rsidTr="00BD5148">
        <w:trPr>
          <w:trHeight w:val="409"/>
        </w:trPr>
        <w:tc>
          <w:tcPr>
            <w:cnfStyle w:val="001000000000" w:firstRow="0" w:lastRow="0" w:firstColumn="1" w:lastColumn="0" w:oddVBand="0" w:evenVBand="0" w:oddHBand="0" w:evenHBand="0" w:firstRowFirstColumn="0" w:firstRowLastColumn="0" w:lastRowFirstColumn="0" w:lastRowLastColumn="0"/>
            <w:tcW w:w="508" w:type="pct"/>
            <w:shd w:val="clear" w:color="auto" w:fill="auto"/>
          </w:tcPr>
          <w:p w14:paraId="05A2202F" w14:textId="77777777" w:rsidR="00F70D56" w:rsidRPr="00A935EF" w:rsidRDefault="00F70D56" w:rsidP="00BD5148">
            <w:pPr>
              <w:rPr>
                <w:rFonts w:cstheme="minorHAnsi"/>
                <w:b w:val="0"/>
                <w:bCs w:val="0"/>
                <w:szCs w:val="20"/>
                <w:lang w:val="en-US"/>
              </w:rPr>
            </w:pPr>
            <w:r>
              <w:t>Item 4</w:t>
            </w:r>
          </w:p>
        </w:tc>
        <w:tc>
          <w:tcPr>
            <w:tcW w:w="2624" w:type="pct"/>
            <w:shd w:val="clear" w:color="auto" w:fill="auto"/>
          </w:tcPr>
          <w:p w14:paraId="37B966A5" w14:textId="77777777" w:rsidR="00F70D56" w:rsidRPr="00A935EF" w:rsidRDefault="00F70D56" w:rsidP="00BD514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B689D">
              <w:t>Are there in the portfolio of the benchmark administrator any Climate Transition Benchmarks, Paris-aligned Benchmarks, benchmarks that pursue ESG objectives or benchmarks that take into account ESG factors?</w:t>
            </w:r>
          </w:p>
        </w:tc>
        <w:tc>
          <w:tcPr>
            <w:tcW w:w="1868" w:type="pct"/>
            <w:shd w:val="clear" w:color="auto" w:fill="auto"/>
          </w:tcPr>
          <w:p w14:paraId="5EA38AED" w14:textId="77777777" w:rsidR="00F70D56" w:rsidRDefault="00F70D56" w:rsidP="00BD5148">
            <w:pPr>
              <w:cnfStyle w:val="000000000000" w:firstRow="0" w:lastRow="0" w:firstColumn="0" w:lastColumn="0" w:oddVBand="0" w:evenVBand="0" w:oddHBand="0" w:evenHBand="0" w:firstRowFirstColumn="0" w:firstRowLastColumn="0" w:lastRowFirstColumn="0" w:lastRowLastColumn="0"/>
            </w:pPr>
            <w:r>
              <w:t>No</w:t>
            </w:r>
          </w:p>
        </w:tc>
      </w:tr>
      <w:tr w:rsidR="00F70D56" w:rsidRPr="00A935EF" w14:paraId="21C1E4B3" w14:textId="77777777" w:rsidTr="00BD5148">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508" w:type="pct"/>
            <w:shd w:val="clear" w:color="auto" w:fill="auto"/>
          </w:tcPr>
          <w:p w14:paraId="2D131241" w14:textId="77777777" w:rsidR="00F70D56" w:rsidRPr="00A935EF" w:rsidRDefault="00F70D56" w:rsidP="00BD5148">
            <w:r>
              <w:t>Item 5</w:t>
            </w:r>
          </w:p>
        </w:tc>
        <w:tc>
          <w:tcPr>
            <w:tcW w:w="2624" w:type="pct"/>
            <w:shd w:val="clear" w:color="auto" w:fill="auto"/>
          </w:tcPr>
          <w:p w14:paraId="4FB016A9" w14:textId="77777777" w:rsidR="00F70D56" w:rsidRPr="00A935EF" w:rsidRDefault="00F70D56" w:rsidP="00BD5148">
            <w:pPr>
              <w:cnfStyle w:val="000000100000" w:firstRow="0" w:lastRow="0" w:firstColumn="0" w:lastColumn="0" w:oddVBand="0" w:evenVBand="0" w:oddHBand="1" w:evenHBand="0" w:firstRowFirstColumn="0" w:firstRowLastColumn="0" w:lastRowFirstColumn="0" w:lastRowLastColumn="0"/>
            </w:pPr>
            <w:r w:rsidRPr="001C313D">
              <w:t xml:space="preserve">Does the benchmark or family of </w:t>
            </w:r>
            <w:r>
              <w:t>pursue ESG objectives</w:t>
            </w:r>
            <w:r w:rsidRPr="001C313D">
              <w:t>?</w:t>
            </w:r>
          </w:p>
        </w:tc>
        <w:tc>
          <w:tcPr>
            <w:tcW w:w="1868" w:type="pct"/>
            <w:shd w:val="clear" w:color="auto" w:fill="auto"/>
          </w:tcPr>
          <w:p w14:paraId="31624370" w14:textId="77777777" w:rsidR="00F70D56" w:rsidRDefault="00F70D56" w:rsidP="00BD5148">
            <w:pPr>
              <w:cnfStyle w:val="000000100000" w:firstRow="0" w:lastRow="0" w:firstColumn="0" w:lastColumn="0" w:oddVBand="0" w:evenVBand="0" w:oddHBand="1" w:evenHBand="0" w:firstRowFirstColumn="0" w:firstRowLastColumn="0" w:lastRowFirstColumn="0" w:lastRowLastColumn="0"/>
            </w:pPr>
            <w:r>
              <w:t>No</w:t>
            </w:r>
          </w:p>
        </w:tc>
      </w:tr>
      <w:tr w:rsidR="00F70D56" w:rsidRPr="00A935EF" w14:paraId="24CC7655" w14:textId="77777777" w:rsidTr="00BD5148">
        <w:trPr>
          <w:trHeight w:val="409"/>
        </w:trPr>
        <w:tc>
          <w:tcPr>
            <w:cnfStyle w:val="001000000000" w:firstRow="0" w:lastRow="0" w:firstColumn="1" w:lastColumn="0" w:oddVBand="0" w:evenVBand="0" w:oddHBand="0" w:evenHBand="0" w:firstRowFirstColumn="0" w:firstRowLastColumn="0" w:lastRowFirstColumn="0" w:lastRowLastColumn="0"/>
            <w:tcW w:w="508" w:type="pct"/>
            <w:vMerge w:val="restart"/>
            <w:shd w:val="clear" w:color="auto" w:fill="auto"/>
            <w:vAlign w:val="center"/>
          </w:tcPr>
          <w:p w14:paraId="266F65AB" w14:textId="77777777" w:rsidR="00F70D56" w:rsidRDefault="00F70D56" w:rsidP="00BD5148">
            <w:r>
              <w:t>Item 10</w:t>
            </w:r>
          </w:p>
        </w:tc>
        <w:tc>
          <w:tcPr>
            <w:tcW w:w="2624" w:type="pct"/>
            <w:shd w:val="clear" w:color="auto" w:fill="auto"/>
          </w:tcPr>
          <w:p w14:paraId="1A9C2545" w14:textId="77777777" w:rsidR="00F70D56" w:rsidRPr="001C313D" w:rsidRDefault="00F70D56" w:rsidP="00BD5148">
            <w:pPr>
              <w:cnfStyle w:val="000000000000" w:firstRow="0" w:lastRow="0" w:firstColumn="0" w:lastColumn="0" w:oddVBand="0" w:evenVBand="0" w:oddHBand="0" w:evenHBand="0" w:firstRowFirstColumn="0" w:firstRowLastColumn="0" w:lastRowFirstColumn="0" w:lastRowLastColumn="0"/>
            </w:pPr>
            <w:r w:rsidRPr="00F9265C">
              <w:t>Does the benchmark align with the target of reducing carbon emissions or the attainment of the objectives of the Paris Agreement</w:t>
            </w:r>
          </w:p>
        </w:tc>
        <w:tc>
          <w:tcPr>
            <w:tcW w:w="1868" w:type="pct"/>
            <w:shd w:val="clear" w:color="auto" w:fill="auto"/>
          </w:tcPr>
          <w:p w14:paraId="734E7ADD" w14:textId="77777777" w:rsidR="00F70D56" w:rsidRDefault="00F70D56" w:rsidP="00BD5148">
            <w:pPr>
              <w:cnfStyle w:val="000000000000" w:firstRow="0" w:lastRow="0" w:firstColumn="0" w:lastColumn="0" w:oddVBand="0" w:evenVBand="0" w:oddHBand="0" w:evenHBand="0" w:firstRowFirstColumn="0" w:firstRowLastColumn="0" w:lastRowFirstColumn="0" w:lastRowLastColumn="0"/>
            </w:pPr>
            <w:r>
              <w:t>No</w:t>
            </w:r>
          </w:p>
        </w:tc>
      </w:tr>
      <w:tr w:rsidR="00F70D56" w:rsidRPr="00A935EF" w14:paraId="7AEC5EBB" w14:textId="77777777" w:rsidTr="00BD5148">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508" w:type="pct"/>
            <w:vMerge/>
            <w:shd w:val="clear" w:color="auto" w:fill="auto"/>
          </w:tcPr>
          <w:p w14:paraId="52E47312" w14:textId="77777777" w:rsidR="00F70D56" w:rsidRDefault="00F70D56" w:rsidP="00BD5148"/>
        </w:tc>
        <w:tc>
          <w:tcPr>
            <w:tcW w:w="2624" w:type="pct"/>
            <w:shd w:val="clear" w:color="auto" w:fill="auto"/>
          </w:tcPr>
          <w:p w14:paraId="211F4B5D" w14:textId="77777777" w:rsidR="00F70D56" w:rsidRPr="001C313D" w:rsidRDefault="00F70D56" w:rsidP="00BD5148">
            <w:pPr>
              <w:cnfStyle w:val="000000100000" w:firstRow="0" w:lastRow="0" w:firstColumn="0" w:lastColumn="0" w:oddVBand="0" w:evenVBand="0" w:oddHBand="1" w:evenHBand="0" w:firstRowFirstColumn="0" w:firstRowLastColumn="0" w:lastRowFirstColumn="0" w:lastRowLastColumn="0"/>
            </w:pPr>
            <w:r>
              <w:t>T</w:t>
            </w:r>
            <w:r w:rsidRPr="00F9265C">
              <w:t>he temperature scenario, in accordance with international standards, used for the alignment with the target of reducing GHG emissions or attaining of the objectives of the Paris Agreement</w:t>
            </w:r>
          </w:p>
        </w:tc>
        <w:tc>
          <w:tcPr>
            <w:tcW w:w="1868" w:type="pct"/>
            <w:shd w:val="clear" w:color="auto" w:fill="auto"/>
          </w:tcPr>
          <w:p w14:paraId="489AEFBF" w14:textId="77777777" w:rsidR="00F70D56" w:rsidRDefault="00F70D56" w:rsidP="00BD5148">
            <w:pPr>
              <w:cnfStyle w:val="000000100000" w:firstRow="0" w:lastRow="0" w:firstColumn="0" w:lastColumn="0" w:oddVBand="0" w:evenVBand="0" w:oddHBand="1" w:evenHBand="0" w:firstRowFirstColumn="0" w:firstRowLastColumn="0" w:lastRowFirstColumn="0" w:lastRowLastColumn="0"/>
            </w:pPr>
            <w:r>
              <w:t>N/A</w:t>
            </w:r>
          </w:p>
        </w:tc>
      </w:tr>
      <w:tr w:rsidR="00F70D56" w:rsidRPr="00A935EF" w14:paraId="75A01614" w14:textId="77777777" w:rsidTr="00BD5148">
        <w:trPr>
          <w:trHeight w:val="409"/>
        </w:trPr>
        <w:tc>
          <w:tcPr>
            <w:cnfStyle w:val="001000000000" w:firstRow="0" w:lastRow="0" w:firstColumn="1" w:lastColumn="0" w:oddVBand="0" w:evenVBand="0" w:oddHBand="0" w:evenHBand="0" w:firstRowFirstColumn="0" w:firstRowLastColumn="0" w:lastRowFirstColumn="0" w:lastRowLastColumn="0"/>
            <w:tcW w:w="508" w:type="pct"/>
            <w:vMerge/>
            <w:shd w:val="clear" w:color="auto" w:fill="auto"/>
          </w:tcPr>
          <w:p w14:paraId="58FB1ECC" w14:textId="77777777" w:rsidR="00F70D56" w:rsidRDefault="00F70D56" w:rsidP="00BD5148"/>
        </w:tc>
        <w:tc>
          <w:tcPr>
            <w:tcW w:w="2624" w:type="pct"/>
            <w:shd w:val="clear" w:color="auto" w:fill="auto"/>
          </w:tcPr>
          <w:p w14:paraId="34D9637C" w14:textId="77777777" w:rsidR="00F70D56" w:rsidRPr="001C313D" w:rsidRDefault="00F70D56" w:rsidP="00BD5148">
            <w:pPr>
              <w:cnfStyle w:val="000000000000" w:firstRow="0" w:lastRow="0" w:firstColumn="0" w:lastColumn="0" w:oddVBand="0" w:evenVBand="0" w:oddHBand="0" w:evenHBand="0" w:firstRowFirstColumn="0" w:firstRowLastColumn="0" w:lastRowFirstColumn="0" w:lastRowLastColumn="0"/>
            </w:pPr>
            <w:r>
              <w:t>T</w:t>
            </w:r>
            <w:r w:rsidRPr="00F9265C">
              <w:t>he name of the provider of the temperature scenario used for the alignment with the target of reducing GHG emissions or the attainment of the objectives of the Paris Agreement</w:t>
            </w:r>
          </w:p>
        </w:tc>
        <w:tc>
          <w:tcPr>
            <w:tcW w:w="1868" w:type="pct"/>
            <w:shd w:val="clear" w:color="auto" w:fill="auto"/>
          </w:tcPr>
          <w:p w14:paraId="12CA4AB1" w14:textId="77777777" w:rsidR="00F70D56" w:rsidRDefault="00F70D56" w:rsidP="00BD5148">
            <w:pPr>
              <w:cnfStyle w:val="000000000000" w:firstRow="0" w:lastRow="0" w:firstColumn="0" w:lastColumn="0" w:oddVBand="0" w:evenVBand="0" w:oddHBand="0" w:evenHBand="0" w:firstRowFirstColumn="0" w:firstRowLastColumn="0" w:lastRowFirstColumn="0" w:lastRowLastColumn="0"/>
            </w:pPr>
            <w:r>
              <w:t>N/A</w:t>
            </w:r>
          </w:p>
        </w:tc>
      </w:tr>
      <w:tr w:rsidR="00F70D56" w:rsidRPr="00A935EF" w14:paraId="7C64F0E6" w14:textId="77777777" w:rsidTr="00BD5148">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508" w:type="pct"/>
            <w:vMerge/>
            <w:shd w:val="clear" w:color="auto" w:fill="auto"/>
          </w:tcPr>
          <w:p w14:paraId="197BFCCC" w14:textId="77777777" w:rsidR="00F70D56" w:rsidRDefault="00F70D56" w:rsidP="00BD5148"/>
        </w:tc>
        <w:tc>
          <w:tcPr>
            <w:tcW w:w="2624" w:type="pct"/>
            <w:shd w:val="clear" w:color="auto" w:fill="auto"/>
          </w:tcPr>
          <w:p w14:paraId="449DD794" w14:textId="77777777" w:rsidR="00F70D56" w:rsidRPr="001C313D" w:rsidRDefault="00F70D56" w:rsidP="00BD5148">
            <w:pPr>
              <w:cnfStyle w:val="000000100000" w:firstRow="0" w:lastRow="0" w:firstColumn="0" w:lastColumn="0" w:oddVBand="0" w:evenVBand="0" w:oddHBand="1" w:evenHBand="0" w:firstRowFirstColumn="0" w:firstRowLastColumn="0" w:lastRowFirstColumn="0" w:lastRowLastColumn="0"/>
            </w:pPr>
            <w:r>
              <w:t>T</w:t>
            </w:r>
            <w:r w:rsidRPr="00F9265C">
              <w:t>he methodology used for the measurement of the alignment with the temperature scenario</w:t>
            </w:r>
          </w:p>
        </w:tc>
        <w:tc>
          <w:tcPr>
            <w:tcW w:w="1868" w:type="pct"/>
            <w:shd w:val="clear" w:color="auto" w:fill="auto"/>
          </w:tcPr>
          <w:p w14:paraId="76642ED1" w14:textId="77777777" w:rsidR="00F70D56" w:rsidRDefault="00F70D56" w:rsidP="00BD5148">
            <w:pPr>
              <w:cnfStyle w:val="000000100000" w:firstRow="0" w:lastRow="0" w:firstColumn="0" w:lastColumn="0" w:oddVBand="0" w:evenVBand="0" w:oddHBand="1" w:evenHBand="0" w:firstRowFirstColumn="0" w:firstRowLastColumn="0" w:lastRowFirstColumn="0" w:lastRowLastColumn="0"/>
            </w:pPr>
            <w:r>
              <w:t>N/A</w:t>
            </w:r>
          </w:p>
        </w:tc>
      </w:tr>
      <w:tr w:rsidR="00F70D56" w:rsidRPr="00A935EF" w14:paraId="6C832657" w14:textId="77777777" w:rsidTr="00BD5148">
        <w:trPr>
          <w:trHeight w:val="409"/>
        </w:trPr>
        <w:tc>
          <w:tcPr>
            <w:cnfStyle w:val="001000000000" w:firstRow="0" w:lastRow="0" w:firstColumn="1" w:lastColumn="0" w:oddVBand="0" w:evenVBand="0" w:oddHBand="0" w:evenHBand="0" w:firstRowFirstColumn="0" w:firstRowLastColumn="0" w:lastRowFirstColumn="0" w:lastRowLastColumn="0"/>
            <w:tcW w:w="508" w:type="pct"/>
            <w:vMerge/>
            <w:shd w:val="clear" w:color="auto" w:fill="auto"/>
          </w:tcPr>
          <w:p w14:paraId="477A93D3" w14:textId="77777777" w:rsidR="00F70D56" w:rsidRDefault="00F70D56" w:rsidP="00BD5148"/>
        </w:tc>
        <w:tc>
          <w:tcPr>
            <w:tcW w:w="2624" w:type="pct"/>
            <w:shd w:val="clear" w:color="auto" w:fill="auto"/>
          </w:tcPr>
          <w:p w14:paraId="4485F1A0" w14:textId="77777777" w:rsidR="00F70D56" w:rsidRPr="001C313D" w:rsidRDefault="00F70D56" w:rsidP="00BD5148">
            <w:pPr>
              <w:cnfStyle w:val="000000000000" w:firstRow="0" w:lastRow="0" w:firstColumn="0" w:lastColumn="0" w:oddVBand="0" w:evenVBand="0" w:oddHBand="0" w:evenHBand="0" w:firstRowFirstColumn="0" w:firstRowLastColumn="0" w:lastRowFirstColumn="0" w:lastRowLastColumn="0"/>
            </w:pPr>
            <w:r>
              <w:t>T</w:t>
            </w:r>
            <w:r w:rsidRPr="00F9265C">
              <w:t>he hyperlink to the website of the temperature scenario used</w:t>
            </w:r>
          </w:p>
        </w:tc>
        <w:tc>
          <w:tcPr>
            <w:tcW w:w="1868" w:type="pct"/>
            <w:shd w:val="clear" w:color="auto" w:fill="auto"/>
          </w:tcPr>
          <w:p w14:paraId="61935726" w14:textId="77777777" w:rsidR="00F70D56" w:rsidRDefault="00F70D56" w:rsidP="00BD5148">
            <w:pPr>
              <w:cnfStyle w:val="000000000000" w:firstRow="0" w:lastRow="0" w:firstColumn="0" w:lastColumn="0" w:oddVBand="0" w:evenVBand="0" w:oddHBand="0" w:evenHBand="0" w:firstRowFirstColumn="0" w:firstRowLastColumn="0" w:lastRowFirstColumn="0" w:lastRowLastColumn="0"/>
            </w:pPr>
            <w:r>
              <w:t>N/A</w:t>
            </w:r>
          </w:p>
        </w:tc>
      </w:tr>
    </w:tbl>
    <w:p w14:paraId="0C95D213" w14:textId="77777777" w:rsidR="00101E6D" w:rsidRDefault="00101E6D" w:rsidP="009262E6">
      <w:pPr>
        <w:sectPr w:rsidR="00101E6D" w:rsidSect="00EB2979">
          <w:pgSz w:w="11894" w:h="16834" w:code="1"/>
          <w:pgMar w:top="2304" w:right="1080" w:bottom="1440" w:left="1080" w:header="1080" w:footer="576" w:gutter="0"/>
          <w:cols w:space="708"/>
          <w:docGrid w:linePitch="360"/>
        </w:sectPr>
      </w:pPr>
    </w:p>
    <w:p w14:paraId="6AA8EB35" w14:textId="77777777" w:rsidR="00F91F12" w:rsidRPr="009262E6" w:rsidRDefault="00101E6D" w:rsidP="00101E6D">
      <w:pPr>
        <w:jc w:val="center"/>
      </w:pPr>
      <w:r>
        <w:rPr>
          <w:noProof/>
          <w:lang w:val="en-US" w:eastAsia="en-US"/>
        </w:rPr>
        <w:lastRenderedPageBreak/>
        <w:drawing>
          <wp:inline distT="0" distB="0" distL="0" distR="0" wp14:anchorId="6D5434F5" wp14:editId="528079A3">
            <wp:extent cx="2286000" cy="342226"/>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emf"/>
                    <pic:cNvPicPr/>
                  </pic:nvPicPr>
                  <pic:blipFill>
                    <a:blip r:embed="rId19">
                      <a:extLst>
                        <a:ext uri="{28A0092B-C50C-407E-A947-70E740481C1C}">
                          <a14:useLocalDpi xmlns:a14="http://schemas.microsoft.com/office/drawing/2010/main" val="0"/>
                        </a:ext>
                      </a:extLst>
                    </a:blip>
                    <a:stretch>
                      <a:fillRect/>
                    </a:stretch>
                  </pic:blipFill>
                  <pic:spPr>
                    <a:xfrm>
                      <a:off x="0" y="0"/>
                      <a:ext cx="2286000" cy="342226"/>
                    </a:xfrm>
                    <a:prstGeom prst="rect">
                      <a:avLst/>
                    </a:prstGeom>
                  </pic:spPr>
                </pic:pic>
              </a:graphicData>
            </a:graphic>
          </wp:inline>
        </w:drawing>
      </w:r>
    </w:p>
    <w:sectPr w:rsidR="00F91F12" w:rsidRPr="009262E6" w:rsidSect="00101E6D">
      <w:headerReference w:type="default" r:id="rId20"/>
      <w:footerReference w:type="default" r:id="rId21"/>
      <w:pgSz w:w="11894" w:h="16834" w:code="1"/>
      <w:pgMar w:top="7200" w:right="1080" w:bottom="1440" w:left="1080" w:header="108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0197E" w14:textId="77777777" w:rsidR="00893C33" w:rsidRDefault="00893C33" w:rsidP="00606A30">
      <w:r>
        <w:separator/>
      </w:r>
    </w:p>
  </w:endnote>
  <w:endnote w:type="continuationSeparator" w:id="0">
    <w:p w14:paraId="3314E9CD" w14:textId="77777777" w:rsidR="00893C33" w:rsidRDefault="00893C33" w:rsidP="00606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EC726" w14:textId="77777777" w:rsidR="009F141D" w:rsidRPr="00CE69DC" w:rsidRDefault="009F141D" w:rsidP="00740B7E">
    <w:r>
      <w:rPr>
        <w:noProof/>
        <w:lang w:val="en-US" w:eastAsia="en-US"/>
      </w:rPr>
      <w:drawing>
        <wp:anchor distT="0" distB="0" distL="114300" distR="114300" simplePos="0" relativeHeight="251838464" behindDoc="0" locked="1" layoutInCell="1" allowOverlap="1" wp14:anchorId="58CF59F6" wp14:editId="25BB22B0">
          <wp:simplePos x="0" y="0"/>
          <wp:positionH relativeFrom="page">
            <wp:align>left</wp:align>
          </wp:positionH>
          <wp:positionV relativeFrom="page">
            <wp:align>bottom</wp:align>
          </wp:positionV>
          <wp:extent cx="7543165" cy="5065395"/>
          <wp:effectExtent l="0" t="0" r="635" b="190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grid blue.emf"/>
                  <pic:cNvPicPr/>
                </pic:nvPicPr>
                <pic:blipFill>
                  <a:blip r:embed="rId1"/>
                  <a:stretch>
                    <a:fillRect/>
                  </a:stretch>
                </pic:blipFill>
                <pic:spPr>
                  <a:xfrm>
                    <a:off x="0" y="0"/>
                    <a:ext cx="7543688" cy="5065776"/>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EA81F" w14:textId="77777777" w:rsidR="009F141D" w:rsidRDefault="009F141D" w:rsidP="00745550">
    <w:pPr>
      <w:pStyle w:val="Footer"/>
    </w:pPr>
    <w:r>
      <w:rPr>
        <w:noProof/>
        <w:lang w:val="en-US" w:eastAsia="en-US"/>
      </w:rPr>
      <w:drawing>
        <wp:anchor distT="0" distB="0" distL="114300" distR="114300" simplePos="0" relativeHeight="251836416" behindDoc="1" locked="0" layoutInCell="1" allowOverlap="1" wp14:anchorId="1D7ADD78" wp14:editId="0D8EFBAB">
          <wp:simplePos x="0" y="0"/>
          <wp:positionH relativeFrom="page">
            <wp:align>center</wp:align>
          </wp:positionH>
          <wp:positionV relativeFrom="margin">
            <wp:align>bottom</wp:align>
          </wp:positionV>
          <wp:extent cx="7050024" cy="315468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id 1.emf"/>
                  <pic:cNvPicPr/>
                </pic:nvPicPr>
                <pic:blipFill>
                  <a:blip r:embed="rId1"/>
                  <a:stretch>
                    <a:fillRect/>
                  </a:stretch>
                </pic:blipFill>
                <pic:spPr>
                  <a:xfrm>
                    <a:off x="0" y="0"/>
                    <a:ext cx="7050024" cy="3154680"/>
                  </a:xfrm>
                  <a:prstGeom prst="rect">
                    <a:avLst/>
                  </a:prstGeom>
                </pic:spPr>
              </pic:pic>
            </a:graphicData>
          </a:graphic>
          <wp14:sizeRelH relativeFrom="page">
            <wp14:pctWidth>0</wp14:pctWidth>
          </wp14:sizeRelH>
          <wp14:sizeRelV relativeFrom="page">
            <wp14:pctHeight>0</wp14:pctHeight>
          </wp14:sizeRelV>
        </wp:anchor>
      </w:drawing>
    </w:r>
    <w:r w:rsidRPr="007E7555">
      <w:rPr>
        <w:noProof/>
        <w:lang w:val="en-US" w:eastAsia="en-US"/>
      </w:rPr>
      <w:drawing>
        <wp:anchor distT="0" distB="0" distL="114300" distR="114300" simplePos="0" relativeHeight="251835392" behindDoc="1" locked="1" layoutInCell="1" allowOverlap="1" wp14:anchorId="41599601" wp14:editId="24DC77C3">
          <wp:simplePos x="0" y="0"/>
          <wp:positionH relativeFrom="page">
            <wp:posOffset>5861685</wp:posOffset>
          </wp:positionH>
          <wp:positionV relativeFrom="page">
            <wp:posOffset>10286365</wp:posOffset>
          </wp:positionV>
          <wp:extent cx="1142280" cy="70560"/>
          <wp:effectExtent l="0" t="0" r="1270" b="5715"/>
          <wp:wrapNone/>
          <wp:docPr id="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142280" cy="7056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483C" w14:textId="548500BE" w:rsidR="00C0112C" w:rsidRPr="00006B4A" w:rsidRDefault="00C0112C" w:rsidP="00F134F5">
    <w:pPr>
      <w:pStyle w:val="Footer"/>
      <w:pBdr>
        <w:top w:val="single" w:sz="4" w:space="16" w:color="C2CACE"/>
      </w:pBdr>
      <w:tabs>
        <w:tab w:val="clear" w:pos="405"/>
        <w:tab w:val="clear" w:pos="657"/>
        <w:tab w:val="clear" w:pos="10080"/>
        <w:tab w:val="right" w:pos="9734"/>
      </w:tabs>
    </w:pPr>
    <w:r w:rsidRPr="00006B4A">
      <w:rPr>
        <w:rStyle w:val="PageNumber"/>
      </w:rPr>
      <w:fldChar w:fldCharType="begin"/>
    </w:r>
    <w:r w:rsidRPr="00006B4A">
      <w:rPr>
        <w:rStyle w:val="PageNumber"/>
      </w:rPr>
      <w:instrText xml:space="preserve"> PAGE </w:instrText>
    </w:r>
    <w:r w:rsidRPr="00006B4A">
      <w:rPr>
        <w:rStyle w:val="PageNumber"/>
      </w:rPr>
      <w:fldChar w:fldCharType="separate"/>
    </w:r>
    <w:r w:rsidR="00CF035A">
      <w:rPr>
        <w:rStyle w:val="PageNumber"/>
        <w:noProof/>
      </w:rPr>
      <w:t>4</w:t>
    </w:r>
    <w:r w:rsidRPr="00006B4A">
      <w:rPr>
        <w:rStyle w:val="PageNumber"/>
      </w:rPr>
      <w:fldChar w:fldCharType="end"/>
    </w:r>
    <w:r w:rsidRPr="00006B4A">
      <w:rPr>
        <w:rStyle w:val="PageNumber"/>
      </w:rPr>
      <w:tab/>
      <w:t xml:space="preserve">© </w:t>
    </w:r>
    <w:r w:rsidR="009A0F0E" w:rsidRPr="00006B4A">
      <w:rPr>
        <w:rStyle w:val="PageNumber"/>
      </w:rPr>
      <w:t>20</w:t>
    </w:r>
    <w:r w:rsidR="009A0F0E">
      <w:rPr>
        <w:rStyle w:val="PageNumber"/>
      </w:rPr>
      <w:t>23</w:t>
    </w:r>
    <w:r w:rsidR="009A0F0E" w:rsidRPr="00006B4A">
      <w:rPr>
        <w:rStyle w:val="PageNumber"/>
      </w:rPr>
      <w:t xml:space="preserve"> </w:t>
    </w:r>
    <w:r w:rsidRPr="00006B4A">
      <w:rPr>
        <w:rStyle w:val="PageNumber"/>
      </w:rPr>
      <w:t>CME Group. All rights reserved.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2610" w14:textId="40B68116" w:rsidR="00101E6D" w:rsidRPr="00EA1731" w:rsidRDefault="007F70EA" w:rsidP="00EA1731">
    <w:pPr>
      <w:pStyle w:val="Footer"/>
      <w:pBdr>
        <w:top w:val="single" w:sz="4" w:space="16" w:color="C2CACE"/>
      </w:pBdr>
      <w:tabs>
        <w:tab w:val="clear" w:pos="405"/>
        <w:tab w:val="clear" w:pos="657"/>
        <w:tab w:val="clear" w:pos="10080"/>
        <w:tab w:val="right" w:pos="9734"/>
      </w:tabs>
    </w:pPr>
    <w:hyperlink r:id="rId1" w:history="1">
      <w:r w:rsidR="00101E6D" w:rsidRPr="00E641C5">
        <w:rPr>
          <w:rStyle w:val="Hyperlink"/>
          <w:lang w:val="en-US"/>
        </w:rPr>
        <w:t>cmegroup.com</w:t>
      </w:r>
    </w:hyperlink>
    <w:r w:rsidR="00EA1731">
      <w:rPr>
        <w:rStyle w:val="Hyperlink"/>
        <w:lang w:val="en-US"/>
      </w:rPr>
      <w:tab/>
    </w:r>
    <w:r w:rsidR="00EA1731" w:rsidRPr="00006B4A">
      <w:rPr>
        <w:rStyle w:val="PageNumber"/>
      </w:rPr>
      <w:t xml:space="preserve">© </w:t>
    </w:r>
    <w:r w:rsidR="0035069C" w:rsidRPr="00006B4A">
      <w:rPr>
        <w:rStyle w:val="PageNumber"/>
      </w:rPr>
      <w:t>20</w:t>
    </w:r>
    <w:r w:rsidR="0035069C">
      <w:rPr>
        <w:rStyle w:val="PageNumber"/>
      </w:rPr>
      <w:t>23</w:t>
    </w:r>
    <w:r w:rsidR="0035069C" w:rsidRPr="00006B4A">
      <w:rPr>
        <w:rStyle w:val="PageNumber"/>
      </w:rPr>
      <w:t xml:space="preserve"> </w:t>
    </w:r>
    <w:r w:rsidR="00EA1731" w:rsidRPr="00006B4A">
      <w:rPr>
        <w:rStyle w:val="PageNumber"/>
      </w:rPr>
      <w:t>CME Group.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3CB17" w14:textId="77777777" w:rsidR="00893C33" w:rsidRDefault="00893C33" w:rsidP="00071CA2"/>
  </w:footnote>
  <w:footnote w:type="continuationSeparator" w:id="0">
    <w:p w14:paraId="17EAD6A8" w14:textId="77777777" w:rsidR="00893C33" w:rsidRDefault="00893C33" w:rsidP="00606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7E2A1" w14:textId="77777777" w:rsidR="009F141D" w:rsidRPr="00431D35" w:rsidRDefault="009F141D" w:rsidP="00431D35">
    <w:pPr>
      <w:pStyle w:val="Header"/>
    </w:pPr>
    <w:r>
      <w:rPr>
        <w:noProof/>
        <w:lang w:val="en-US" w:eastAsia="en-US"/>
      </w:rPr>
      <mc:AlternateContent>
        <mc:Choice Requires="wps">
          <w:drawing>
            <wp:anchor distT="0" distB="0" distL="114300" distR="114300" simplePos="0" relativeHeight="251837440" behindDoc="1" locked="0" layoutInCell="1" allowOverlap="1" wp14:anchorId="19F871C6" wp14:editId="6B317E50">
              <wp:simplePos x="0" y="0"/>
              <wp:positionH relativeFrom="page">
                <wp:posOffset>0</wp:posOffset>
              </wp:positionH>
              <wp:positionV relativeFrom="page">
                <wp:posOffset>0</wp:posOffset>
              </wp:positionV>
              <wp:extent cx="7552944" cy="10689336"/>
              <wp:effectExtent l="0" t="0" r="16510" b="17145"/>
              <wp:wrapNone/>
              <wp:docPr id="22" name="Rectangle 22"/>
              <wp:cNvGraphicFramePr/>
              <a:graphic xmlns:a="http://schemas.openxmlformats.org/drawingml/2006/main">
                <a:graphicData uri="http://schemas.microsoft.com/office/word/2010/wordprocessingShape">
                  <wps:wsp>
                    <wps:cNvSpPr/>
                    <wps:spPr>
                      <a:xfrm>
                        <a:off x="0" y="0"/>
                        <a:ext cx="7552944" cy="10689336"/>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D9DBB" id="Rectangle 22" o:spid="_x0000_s1026" style="position:absolute;margin-left:0;margin-top:0;width:594.7pt;height:841.7pt;z-index:-25147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" fillcolor="#112b4a [3213]" strokecolor="#0f1939 [1604]" strokeweight="1pt">
              <w10:wrap anchorx="page" anchory="page"/>
            </v:rect>
          </w:pict>
        </mc:Fallback>
      </mc:AlternateContent>
    </w:r>
    <w:r>
      <w:rPr>
        <w:noProof/>
        <w:lang w:val="en-US" w:eastAsia="en-US"/>
      </w:rPr>
      <w:drawing>
        <wp:inline distT="0" distB="0" distL="0" distR="0" wp14:anchorId="64C7A48B" wp14:editId="5A004E79">
          <wp:extent cx="1920240" cy="287469"/>
          <wp:effectExtent l="0" t="0" r="381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emf"/>
                  <pic:cNvPicPr/>
                </pic:nvPicPr>
                <pic:blipFill>
                  <a:blip r:embed="rId1">
                    <a:extLst>
                      <a:ext uri="{28A0092B-C50C-407E-A947-70E740481C1C}">
                        <a14:useLocalDpi xmlns:a14="http://schemas.microsoft.com/office/drawing/2010/main" val="0"/>
                      </a:ext>
                    </a:extLst>
                  </a:blip>
                  <a:stretch>
                    <a:fillRect/>
                  </a:stretch>
                </pic:blipFill>
                <pic:spPr>
                  <a:xfrm>
                    <a:off x="0" y="0"/>
                    <a:ext cx="1920240" cy="28746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7926" w14:textId="77777777" w:rsidR="009F141D" w:rsidRPr="001817F9" w:rsidRDefault="009F141D" w:rsidP="001817F9">
    <w:r>
      <w:rPr>
        <w:noProof/>
        <w:lang w:val="en-US" w:eastAsia="en-US"/>
      </w:rPr>
      <w:drawing>
        <wp:inline distT="0" distB="0" distL="0" distR="0" wp14:anchorId="172E7821" wp14:editId="6CC35AAF">
          <wp:extent cx="1920240" cy="288036"/>
          <wp:effectExtent l="0" t="0" r="0" b="444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emf"/>
                  <pic:cNvPicPr/>
                </pic:nvPicPr>
                <pic:blipFill>
                  <a:blip r:embed="rId1"/>
                  <a:stretch>
                    <a:fillRect/>
                  </a:stretch>
                </pic:blipFill>
                <pic:spPr>
                  <a:xfrm>
                    <a:off x="0" y="0"/>
                    <a:ext cx="1920240" cy="28803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11C4D" w14:textId="77777777" w:rsidR="00974682" w:rsidRPr="00431D35" w:rsidRDefault="00974682" w:rsidP="00431D35">
    <w:pPr>
      <w:pStyle w:val="Header"/>
    </w:pPr>
    <w:r>
      <w:rPr>
        <w:noProof/>
        <w:lang w:val="en-US" w:eastAsia="en-US"/>
      </w:rPr>
      <w:drawing>
        <wp:inline distT="0" distB="0" distL="0" distR="0" wp14:anchorId="38EB2DAF" wp14:editId="3144751B">
          <wp:extent cx="1920234" cy="287469"/>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emf"/>
                  <pic:cNvPicPr/>
                </pic:nvPicPr>
                <pic:blipFill>
                  <a:blip r:embed="rId1">
                    <a:extLst>
                      <a:ext uri="{28A0092B-C50C-407E-A947-70E740481C1C}">
                        <a14:useLocalDpi xmlns:a14="http://schemas.microsoft.com/office/drawing/2010/main" val="0"/>
                      </a:ext>
                    </a:extLst>
                  </a:blip>
                  <a:stretch>
                    <a:fillRect/>
                  </a:stretch>
                </pic:blipFill>
                <pic:spPr>
                  <a:xfrm>
                    <a:off x="0" y="0"/>
                    <a:ext cx="1920234" cy="287469"/>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9E2DE" w14:textId="77777777" w:rsidR="00C0112C" w:rsidRPr="001817F9" w:rsidRDefault="00C0112C" w:rsidP="001817F9">
    <w:r>
      <w:rPr>
        <w:noProof/>
        <w:lang w:val="en-US" w:eastAsia="en-US"/>
      </w:rPr>
      <w:drawing>
        <wp:inline distT="0" distB="0" distL="0" distR="0" wp14:anchorId="2A4D612E" wp14:editId="7595E96A">
          <wp:extent cx="1920240" cy="288036"/>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emf"/>
                  <pic:cNvPicPr/>
                </pic:nvPicPr>
                <pic:blipFill>
                  <a:blip r:embed="rId1"/>
                  <a:stretch>
                    <a:fillRect/>
                  </a:stretch>
                </pic:blipFill>
                <pic:spPr>
                  <a:xfrm>
                    <a:off x="0" y="0"/>
                    <a:ext cx="1920240" cy="288036"/>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1AE14" w14:textId="77777777" w:rsidR="00101E6D" w:rsidRPr="00101E6D" w:rsidRDefault="00101E6D" w:rsidP="00101E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5467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530BF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D92AED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0142B3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0006CB8"/>
    <w:lvl w:ilvl="0">
      <w:start w:val="1"/>
      <w:numFmt w:val="bullet"/>
      <w:pStyle w:val="ListBullet5"/>
      <w:lvlText w:val="–"/>
      <w:lvlJc w:val="left"/>
      <w:pPr>
        <w:ind w:left="1800" w:hanging="360"/>
      </w:pPr>
      <w:rPr>
        <w:rFonts w:ascii="Arial" w:hAnsi="Arial" w:hint="default"/>
      </w:rPr>
    </w:lvl>
  </w:abstractNum>
  <w:abstractNum w:abstractNumId="5" w15:restartNumberingAfterBreak="0">
    <w:nsid w:val="FFFFFF81"/>
    <w:multiLevelType w:val="singleLevel"/>
    <w:tmpl w:val="5352F72A"/>
    <w:lvl w:ilvl="0">
      <w:start w:val="1"/>
      <w:numFmt w:val="bullet"/>
      <w:pStyle w:val="ListBullet4"/>
      <w:lvlText w:val="–"/>
      <w:lvlJc w:val="left"/>
      <w:pPr>
        <w:ind w:left="1440" w:hanging="360"/>
      </w:pPr>
      <w:rPr>
        <w:rFonts w:ascii="Arial" w:hAnsi="Arial" w:hint="default"/>
      </w:rPr>
    </w:lvl>
  </w:abstractNum>
  <w:abstractNum w:abstractNumId="6" w15:restartNumberingAfterBreak="0">
    <w:nsid w:val="FFFFFF82"/>
    <w:multiLevelType w:val="singleLevel"/>
    <w:tmpl w:val="7450A67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CA66A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F3648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00BC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B9742B"/>
    <w:multiLevelType w:val="hybridMultilevel"/>
    <w:tmpl w:val="28FE1B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A65DBC"/>
    <w:multiLevelType w:val="multilevel"/>
    <w:tmpl w:val="DC52C752"/>
    <w:numStyleLink w:val="NEX"/>
  </w:abstractNum>
  <w:abstractNum w:abstractNumId="12" w15:restartNumberingAfterBreak="0">
    <w:nsid w:val="1A4754BD"/>
    <w:multiLevelType w:val="hybridMultilevel"/>
    <w:tmpl w:val="3C26CC86"/>
    <w:lvl w:ilvl="0" w:tplc="D2C699BC">
      <w:start w:val="1"/>
      <w:numFmt w:val="bullet"/>
      <w:pStyle w:val="ListBullet2"/>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2055BD0"/>
    <w:multiLevelType w:val="hybridMultilevel"/>
    <w:tmpl w:val="1DF0DB6A"/>
    <w:lvl w:ilvl="0" w:tplc="D700B8E2">
      <w:start w:val="1"/>
      <w:numFmt w:val="bullet"/>
      <w:pStyle w:val="ListBullet3"/>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50327D0"/>
    <w:multiLevelType w:val="multilevel"/>
    <w:tmpl w:val="1CC04522"/>
    <w:lvl w:ilvl="0">
      <w:start w:val="1"/>
      <w:numFmt w:val="bullet"/>
      <w:lvlText w:val="-"/>
      <w:lvlJc w:val="left"/>
      <w:pPr>
        <w:ind w:left="720" w:hanging="360"/>
      </w:pPr>
      <w:rPr>
        <w:rFonts w:ascii="Arial" w:hAnsi="Arial" w:hint="default"/>
        <w:color w:val="112B4A" w:themeColor="text1"/>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757082"/>
    <w:multiLevelType w:val="multilevel"/>
    <w:tmpl w:val="7512C400"/>
    <w:lvl w:ilvl="0">
      <w:start w:val="1"/>
      <w:numFmt w:val="decimal"/>
      <w:pStyle w:val="Heading1"/>
      <w:lvlText w:val="%1."/>
      <w:lvlJc w:val="left"/>
      <w:pPr>
        <w:ind w:left="454" w:hanging="454"/>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680" w:hanging="680"/>
      </w:pPr>
      <w:rPr>
        <w:rFonts w:hint="default"/>
      </w:rPr>
    </w:lvl>
    <w:lvl w:ilvl="3">
      <w:start w:val="1"/>
      <w:numFmt w:val="decimal"/>
      <w:pStyle w:val="Heading4"/>
      <w:lvlText w:val="%1.%2.%3.%4."/>
      <w:lvlJc w:val="left"/>
      <w:pPr>
        <w:ind w:left="907" w:hanging="907"/>
      </w:pPr>
      <w:rPr>
        <w:rFonts w:hint="default"/>
      </w:rPr>
    </w:lvl>
    <w:lvl w:ilvl="4">
      <w:start w:val="1"/>
      <w:numFmt w:val="decimal"/>
      <w:pStyle w:val="Heading5"/>
      <w:lvlText w:val="%1.%2.%3.%4.%5."/>
      <w:lvlJc w:val="left"/>
      <w:pPr>
        <w:ind w:left="1021" w:hanging="1021"/>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16" w15:restartNumberingAfterBreak="0">
    <w:nsid w:val="2D4C68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50658A"/>
    <w:multiLevelType w:val="multilevel"/>
    <w:tmpl w:val="192E73BA"/>
    <w:lvl w:ilvl="0">
      <w:start w:val="1"/>
      <w:numFmt w:val="bullet"/>
      <w:lvlText w:val=""/>
      <w:lvlJc w:val="left"/>
      <w:pPr>
        <w:ind w:left="360" w:hanging="360"/>
      </w:pPr>
      <w:rPr>
        <w:rFonts w:ascii="Symbol" w:hAnsi="Symbol" w:hint="default"/>
        <w:color w:val="112B4A" w:themeColor="text1"/>
        <w:sz w:val="19"/>
      </w:rPr>
    </w:lvl>
    <w:lvl w:ilvl="1">
      <w:start w:val="1"/>
      <w:numFmt w:val="bullet"/>
      <w:lvlText w:val="-"/>
      <w:lvlJc w:val="left"/>
      <w:pPr>
        <w:ind w:left="720" w:hanging="363"/>
      </w:pPr>
      <w:rPr>
        <w:rFonts w:ascii="Arial" w:hAnsi="Arial" w:hint="default"/>
        <w:color w:val="112B4A" w:themeColor="text1"/>
      </w:rPr>
    </w:lvl>
    <w:lvl w:ilvl="2">
      <w:start w:val="1"/>
      <w:numFmt w:val="bullet"/>
      <w:lvlText w:val="-"/>
      <w:lvlJc w:val="left"/>
      <w:pPr>
        <w:ind w:left="1077" w:hanging="357"/>
      </w:pPr>
      <w:rPr>
        <w:rFonts w:ascii="Arial" w:hAnsi="Arial" w:hint="default"/>
        <w:color w:val="112B4A" w:themeColor="text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177C9E"/>
    <w:multiLevelType w:val="hybridMultilevel"/>
    <w:tmpl w:val="33ACC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362427"/>
    <w:multiLevelType w:val="hybridMultilevel"/>
    <w:tmpl w:val="23386724"/>
    <w:lvl w:ilvl="0" w:tplc="371C8284">
      <w:start w:val="1"/>
      <w:numFmt w:val="bullet"/>
      <w:lvlText w:val=""/>
      <w:lvlJc w:val="left"/>
      <w:pPr>
        <w:ind w:left="360" w:hanging="360"/>
      </w:pPr>
      <w:rPr>
        <w:rFonts w:ascii="Symbol" w:hAnsi="Symbol" w:hint="default"/>
        <w:color w:val="112B4A" w:themeColor="text1"/>
        <w:sz w:val="1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81591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97E7D5B"/>
    <w:multiLevelType w:val="multilevel"/>
    <w:tmpl w:val="DC52C752"/>
    <w:styleLink w:val="NEX"/>
    <w:lvl w:ilvl="0">
      <w:start w:val="1"/>
      <w:numFmt w:val="bullet"/>
      <w:pStyle w:val="TableBullet1"/>
      <w:lvlText w:val=""/>
      <w:lvlJc w:val="left"/>
      <w:pPr>
        <w:ind w:left="360" w:hanging="360"/>
      </w:pPr>
      <w:rPr>
        <w:rFonts w:ascii="Symbol" w:hAnsi="Symbol" w:hint="default"/>
        <w:color w:val="112B4A" w:themeColor="text1"/>
        <w:sz w:val="19"/>
      </w:rPr>
    </w:lvl>
    <w:lvl w:ilvl="1">
      <w:start w:val="1"/>
      <w:numFmt w:val="bullet"/>
      <w:pStyle w:val="TableBullet2"/>
      <w:lvlText w:val="-"/>
      <w:lvlJc w:val="left"/>
      <w:pPr>
        <w:ind w:left="720" w:hanging="363"/>
      </w:pPr>
      <w:rPr>
        <w:rFonts w:ascii="Arial" w:hAnsi="Arial" w:hint="default"/>
        <w:color w:val="112B4A" w:themeColor="text1"/>
      </w:rPr>
    </w:lvl>
    <w:lvl w:ilvl="2">
      <w:start w:val="1"/>
      <w:numFmt w:val="bullet"/>
      <w:pStyle w:val="TableBullet3"/>
      <w:lvlText w:val="-"/>
      <w:lvlJc w:val="left"/>
      <w:pPr>
        <w:ind w:left="1077" w:hanging="357"/>
      </w:pPr>
      <w:rPr>
        <w:rFonts w:ascii="Arial" w:hAnsi="Arial" w:hint="default"/>
        <w:color w:val="112B4A" w:themeColor="text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B9B0A54"/>
    <w:multiLevelType w:val="hybridMultilevel"/>
    <w:tmpl w:val="C276B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47565D"/>
    <w:multiLevelType w:val="multilevel"/>
    <w:tmpl w:val="1C4C1A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76E0429"/>
    <w:multiLevelType w:val="hybridMultilevel"/>
    <w:tmpl w:val="7B8AFA46"/>
    <w:lvl w:ilvl="0" w:tplc="93A4A1F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1070A1"/>
    <w:multiLevelType w:val="hybridMultilevel"/>
    <w:tmpl w:val="1CC04522"/>
    <w:lvl w:ilvl="0" w:tplc="AE64D640">
      <w:start w:val="1"/>
      <w:numFmt w:val="bullet"/>
      <w:lvlText w:val="-"/>
      <w:lvlJc w:val="left"/>
      <w:pPr>
        <w:ind w:left="720" w:hanging="360"/>
      </w:pPr>
      <w:rPr>
        <w:rFonts w:ascii="Arial" w:hAnsi="Arial" w:hint="default"/>
        <w:color w:val="112B4A" w:themeColor="text1"/>
        <w:sz w:val="1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F41FA4"/>
    <w:multiLevelType w:val="hybridMultilevel"/>
    <w:tmpl w:val="422C08EA"/>
    <w:lvl w:ilvl="0" w:tplc="529462F0">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038851">
    <w:abstractNumId w:val="19"/>
  </w:num>
  <w:num w:numId="2" w16cid:durableId="1294797096">
    <w:abstractNumId w:val="25"/>
  </w:num>
  <w:num w:numId="3" w16cid:durableId="81807264">
    <w:abstractNumId w:val="19"/>
  </w:num>
  <w:num w:numId="4" w16cid:durableId="940531719">
    <w:abstractNumId w:val="25"/>
  </w:num>
  <w:num w:numId="5" w16cid:durableId="1844928369">
    <w:abstractNumId w:val="25"/>
  </w:num>
  <w:num w:numId="6" w16cid:durableId="2047022508">
    <w:abstractNumId w:val="24"/>
  </w:num>
  <w:num w:numId="7" w16cid:durableId="2066753959">
    <w:abstractNumId w:val="19"/>
  </w:num>
  <w:num w:numId="8" w16cid:durableId="336151455">
    <w:abstractNumId w:val="25"/>
  </w:num>
  <w:num w:numId="9" w16cid:durableId="275448220">
    <w:abstractNumId w:val="25"/>
  </w:num>
  <w:num w:numId="10" w16cid:durableId="193808696">
    <w:abstractNumId w:val="15"/>
  </w:num>
  <w:num w:numId="11" w16cid:durableId="488636890">
    <w:abstractNumId w:val="15"/>
  </w:num>
  <w:num w:numId="12" w16cid:durableId="5253092">
    <w:abstractNumId w:val="15"/>
  </w:num>
  <w:num w:numId="13" w16cid:durableId="1269196178">
    <w:abstractNumId w:val="24"/>
  </w:num>
  <w:num w:numId="14" w16cid:durableId="853373593">
    <w:abstractNumId w:val="15"/>
  </w:num>
  <w:num w:numId="15" w16cid:durableId="287863094">
    <w:abstractNumId w:val="15"/>
  </w:num>
  <w:num w:numId="16" w16cid:durableId="1322350064">
    <w:abstractNumId w:val="18"/>
  </w:num>
  <w:num w:numId="17" w16cid:durableId="201284305">
    <w:abstractNumId w:val="16"/>
  </w:num>
  <w:num w:numId="18" w16cid:durableId="322851513">
    <w:abstractNumId w:val="23"/>
  </w:num>
  <w:num w:numId="19" w16cid:durableId="568197586">
    <w:abstractNumId w:val="10"/>
  </w:num>
  <w:num w:numId="20" w16cid:durableId="1877506497">
    <w:abstractNumId w:val="14"/>
  </w:num>
  <w:num w:numId="21" w16cid:durableId="1770150979">
    <w:abstractNumId w:val="17"/>
  </w:num>
  <w:num w:numId="22" w16cid:durableId="1326318432">
    <w:abstractNumId w:val="17"/>
  </w:num>
  <w:num w:numId="23" w16cid:durableId="1930698865">
    <w:abstractNumId w:val="17"/>
  </w:num>
  <w:num w:numId="24" w16cid:durableId="1843860437">
    <w:abstractNumId w:val="20"/>
  </w:num>
  <w:num w:numId="25" w16cid:durableId="352147535">
    <w:abstractNumId w:val="21"/>
    <w:lvlOverride w:ilvl="0">
      <w:lvl w:ilvl="0">
        <w:numFmt w:val="decimal"/>
        <w:pStyle w:val="TableBullet1"/>
        <w:lvlText w:val=""/>
        <w:lvlJc w:val="left"/>
      </w:lvl>
    </w:lvlOverride>
    <w:lvlOverride w:ilvl="1">
      <w:lvl w:ilvl="1">
        <w:start w:val="1"/>
        <w:numFmt w:val="bullet"/>
        <w:pStyle w:val="TableBullet2"/>
        <w:lvlText w:val="-"/>
        <w:lvlJc w:val="left"/>
        <w:pPr>
          <w:ind w:left="720" w:hanging="363"/>
        </w:pPr>
        <w:rPr>
          <w:rFonts w:ascii="Arial" w:hAnsi="Arial" w:hint="default"/>
          <w:color w:val="556167"/>
        </w:rPr>
      </w:lvl>
    </w:lvlOverride>
  </w:num>
  <w:num w:numId="26" w16cid:durableId="917255220">
    <w:abstractNumId w:val="21"/>
    <w:lvlOverride w:ilvl="0">
      <w:startOverride w:val="1"/>
      <w:lvl w:ilvl="0">
        <w:start w:val="1"/>
        <w:numFmt w:val="decimal"/>
        <w:pStyle w:val="TableBullet1"/>
        <w:lvlText w:val=""/>
        <w:lvlJc w:val="left"/>
      </w:lvl>
    </w:lvlOverride>
    <w:lvlOverride w:ilvl="1">
      <w:startOverride w:val="1"/>
      <w:lvl w:ilvl="1">
        <w:start w:val="1"/>
        <w:numFmt w:val="bullet"/>
        <w:pStyle w:val="TableBullet2"/>
        <w:lvlText w:val="-"/>
        <w:lvlJc w:val="left"/>
        <w:pPr>
          <w:ind w:left="720" w:hanging="363"/>
        </w:pPr>
        <w:rPr>
          <w:rFonts w:ascii="Arial" w:hAnsi="Arial" w:hint="default"/>
          <w:color w:val="25A9E0"/>
        </w:rPr>
      </w:lvl>
    </w:lvlOverride>
  </w:num>
  <w:num w:numId="27" w16cid:durableId="1801260035">
    <w:abstractNumId w:val="11"/>
    <w:lvlOverride w:ilvl="0">
      <w:lvl w:ilvl="0">
        <w:start w:val="1"/>
        <w:numFmt w:val="bullet"/>
        <w:pStyle w:val="TableBullet1"/>
        <w:lvlText w:val=""/>
        <w:lvlJc w:val="left"/>
        <w:pPr>
          <w:ind w:left="360" w:hanging="360"/>
        </w:pPr>
        <w:rPr>
          <w:rFonts w:ascii="Symbol" w:hAnsi="Symbol" w:hint="default"/>
          <w:color w:val="556167"/>
          <w:sz w:val="19"/>
        </w:rPr>
      </w:lvl>
    </w:lvlOverride>
    <w:lvlOverride w:ilvl="1">
      <w:lvl w:ilvl="1">
        <w:start w:val="1"/>
        <w:numFmt w:val="bullet"/>
        <w:pStyle w:val="TableBullet2"/>
        <w:lvlText w:val="–"/>
        <w:lvlJc w:val="left"/>
        <w:pPr>
          <w:ind w:left="720" w:hanging="363"/>
        </w:pPr>
        <w:rPr>
          <w:rFonts w:ascii="Arial" w:hAnsi="Arial" w:hint="default"/>
          <w:color w:val="112B4A" w:themeColor="text1"/>
        </w:rPr>
      </w:lvl>
    </w:lvlOverride>
    <w:lvlOverride w:ilvl="2">
      <w:lvl w:ilvl="2">
        <w:start w:val="1"/>
        <w:numFmt w:val="bullet"/>
        <w:pStyle w:val="TableBullet3"/>
        <w:lvlText w:val="–"/>
        <w:lvlJc w:val="left"/>
        <w:pPr>
          <w:ind w:left="1080" w:hanging="360"/>
        </w:pPr>
        <w:rPr>
          <w:rFonts w:ascii="Arial" w:hAnsi="Arial" w:hint="default"/>
          <w:color w:val="112B4A" w:themeColor="text1"/>
        </w:rPr>
      </w:lvl>
    </w:lvlOverride>
    <w:lvlOverride w:ilvl="3">
      <w:lvl w:ilvl="3">
        <w:start w:val="1"/>
        <w:numFmt w:val="bullet"/>
        <w:lvlText w:val=""/>
        <w:lvlJc w:val="left"/>
        <w:pPr>
          <w:ind w:left="1440" w:hanging="360"/>
        </w:pPr>
        <w:rPr>
          <w:rFonts w:ascii="Symbol" w:hAnsi="Symbol" w:hint="default"/>
        </w:rPr>
      </w:lvl>
    </w:lvlOverride>
    <w:lvlOverride w:ilvl="4">
      <w:lvl w:ilvl="4">
        <w:start w:val="1"/>
        <w:numFmt w:val="bullet"/>
        <w:lvlText w:val="o"/>
        <w:lvlJc w:val="left"/>
        <w:pPr>
          <w:ind w:left="3600" w:hanging="360"/>
        </w:pPr>
        <w:rPr>
          <w:rFonts w:ascii="Courier New" w:hAnsi="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8" w16cid:durableId="1580482729">
    <w:abstractNumId w:val="21"/>
  </w:num>
  <w:num w:numId="29" w16cid:durableId="8140367">
    <w:abstractNumId w:val="0"/>
  </w:num>
  <w:num w:numId="30" w16cid:durableId="92096925">
    <w:abstractNumId w:val="1"/>
  </w:num>
  <w:num w:numId="31" w16cid:durableId="1492329252">
    <w:abstractNumId w:val="2"/>
  </w:num>
  <w:num w:numId="32" w16cid:durableId="1090195164">
    <w:abstractNumId w:val="3"/>
  </w:num>
  <w:num w:numId="33" w16cid:durableId="1391071829">
    <w:abstractNumId w:val="8"/>
  </w:num>
  <w:num w:numId="34" w16cid:durableId="152331927">
    <w:abstractNumId w:val="4"/>
  </w:num>
  <w:num w:numId="35" w16cid:durableId="727843463">
    <w:abstractNumId w:val="5"/>
  </w:num>
  <w:num w:numId="36" w16cid:durableId="1533495487">
    <w:abstractNumId w:val="6"/>
  </w:num>
  <w:num w:numId="37" w16cid:durableId="2098792127">
    <w:abstractNumId w:val="7"/>
  </w:num>
  <w:num w:numId="38" w16cid:durableId="1968386021">
    <w:abstractNumId w:val="9"/>
  </w:num>
  <w:num w:numId="39" w16cid:durableId="1155414131">
    <w:abstractNumId w:val="12"/>
  </w:num>
  <w:num w:numId="40" w16cid:durableId="948704538">
    <w:abstractNumId w:val="13"/>
  </w:num>
  <w:num w:numId="41" w16cid:durableId="794906452">
    <w:abstractNumId w:val="26"/>
  </w:num>
  <w:num w:numId="42" w16cid:durableId="18205382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C33"/>
    <w:rsid w:val="00000B30"/>
    <w:rsid w:val="000033C1"/>
    <w:rsid w:val="00005BCB"/>
    <w:rsid w:val="000061BE"/>
    <w:rsid w:val="00006B4A"/>
    <w:rsid w:val="00011DC9"/>
    <w:rsid w:val="00016795"/>
    <w:rsid w:val="00031548"/>
    <w:rsid w:val="000418E3"/>
    <w:rsid w:val="00043238"/>
    <w:rsid w:val="00044BE2"/>
    <w:rsid w:val="00071CA2"/>
    <w:rsid w:val="00073079"/>
    <w:rsid w:val="000813A6"/>
    <w:rsid w:val="0008148D"/>
    <w:rsid w:val="0008197A"/>
    <w:rsid w:val="00082DEB"/>
    <w:rsid w:val="0008468C"/>
    <w:rsid w:val="00086F42"/>
    <w:rsid w:val="0009185E"/>
    <w:rsid w:val="000945D4"/>
    <w:rsid w:val="000A1F3D"/>
    <w:rsid w:val="000B734A"/>
    <w:rsid w:val="000C3B6C"/>
    <w:rsid w:val="000D6B8E"/>
    <w:rsid w:val="000E2ABA"/>
    <w:rsid w:val="000E4203"/>
    <w:rsid w:val="000E5050"/>
    <w:rsid w:val="000F0737"/>
    <w:rsid w:val="000F201C"/>
    <w:rsid w:val="00101E6D"/>
    <w:rsid w:val="001036DD"/>
    <w:rsid w:val="00103B79"/>
    <w:rsid w:val="00105705"/>
    <w:rsid w:val="001064BB"/>
    <w:rsid w:val="0012392E"/>
    <w:rsid w:val="00135861"/>
    <w:rsid w:val="00140C47"/>
    <w:rsid w:val="001642A1"/>
    <w:rsid w:val="00164EB8"/>
    <w:rsid w:val="00165118"/>
    <w:rsid w:val="001661DE"/>
    <w:rsid w:val="00166320"/>
    <w:rsid w:val="0017052A"/>
    <w:rsid w:val="0017082B"/>
    <w:rsid w:val="0017297E"/>
    <w:rsid w:val="001817F9"/>
    <w:rsid w:val="00184BC7"/>
    <w:rsid w:val="00187B24"/>
    <w:rsid w:val="0019002B"/>
    <w:rsid w:val="00191D92"/>
    <w:rsid w:val="001A00D9"/>
    <w:rsid w:val="001A1849"/>
    <w:rsid w:val="001B0B06"/>
    <w:rsid w:val="001B795F"/>
    <w:rsid w:val="001C3A8A"/>
    <w:rsid w:val="001C3EB7"/>
    <w:rsid w:val="001C3EE0"/>
    <w:rsid w:val="001E05B0"/>
    <w:rsid w:val="001F76BE"/>
    <w:rsid w:val="002112C5"/>
    <w:rsid w:val="00215400"/>
    <w:rsid w:val="002221AA"/>
    <w:rsid w:val="0024430E"/>
    <w:rsid w:val="00247452"/>
    <w:rsid w:val="00253D0B"/>
    <w:rsid w:val="00255E55"/>
    <w:rsid w:val="00263A38"/>
    <w:rsid w:val="00282AF0"/>
    <w:rsid w:val="00283776"/>
    <w:rsid w:val="00293482"/>
    <w:rsid w:val="00294AD7"/>
    <w:rsid w:val="00295302"/>
    <w:rsid w:val="002A1E0D"/>
    <w:rsid w:val="002B1E35"/>
    <w:rsid w:val="002B53D1"/>
    <w:rsid w:val="002D56A9"/>
    <w:rsid w:val="002D68D4"/>
    <w:rsid w:val="002E285C"/>
    <w:rsid w:val="002F0E49"/>
    <w:rsid w:val="002F1E05"/>
    <w:rsid w:val="002F2F15"/>
    <w:rsid w:val="002F2FF3"/>
    <w:rsid w:val="002F31F5"/>
    <w:rsid w:val="002F64A5"/>
    <w:rsid w:val="002F6961"/>
    <w:rsid w:val="00310CF6"/>
    <w:rsid w:val="00312548"/>
    <w:rsid w:val="00322E36"/>
    <w:rsid w:val="00333AD8"/>
    <w:rsid w:val="00335F3B"/>
    <w:rsid w:val="003370FE"/>
    <w:rsid w:val="00341116"/>
    <w:rsid w:val="00345B02"/>
    <w:rsid w:val="00345FAD"/>
    <w:rsid w:val="0035069C"/>
    <w:rsid w:val="00351C2B"/>
    <w:rsid w:val="00355431"/>
    <w:rsid w:val="00357BF9"/>
    <w:rsid w:val="0036189A"/>
    <w:rsid w:val="003656D0"/>
    <w:rsid w:val="0037486A"/>
    <w:rsid w:val="0038212F"/>
    <w:rsid w:val="00386F4C"/>
    <w:rsid w:val="00391054"/>
    <w:rsid w:val="00397345"/>
    <w:rsid w:val="003A0A12"/>
    <w:rsid w:val="003B1A69"/>
    <w:rsid w:val="003B27D9"/>
    <w:rsid w:val="003E52B7"/>
    <w:rsid w:val="003F1910"/>
    <w:rsid w:val="003F1C39"/>
    <w:rsid w:val="0040085C"/>
    <w:rsid w:val="004024A1"/>
    <w:rsid w:val="00403060"/>
    <w:rsid w:val="0040350C"/>
    <w:rsid w:val="00411D22"/>
    <w:rsid w:val="00414865"/>
    <w:rsid w:val="004207F4"/>
    <w:rsid w:val="004273D5"/>
    <w:rsid w:val="00427DFF"/>
    <w:rsid w:val="00430217"/>
    <w:rsid w:val="00431D35"/>
    <w:rsid w:val="00432B86"/>
    <w:rsid w:val="00436393"/>
    <w:rsid w:val="0044093A"/>
    <w:rsid w:val="00440ACF"/>
    <w:rsid w:val="00454F9D"/>
    <w:rsid w:val="004564CD"/>
    <w:rsid w:val="00462DB6"/>
    <w:rsid w:val="0048345B"/>
    <w:rsid w:val="00491DED"/>
    <w:rsid w:val="00495F10"/>
    <w:rsid w:val="00496A01"/>
    <w:rsid w:val="004A4798"/>
    <w:rsid w:val="004A6141"/>
    <w:rsid w:val="004B1E84"/>
    <w:rsid w:val="004B36CD"/>
    <w:rsid w:val="004D0308"/>
    <w:rsid w:val="004D2894"/>
    <w:rsid w:val="004D4FCD"/>
    <w:rsid w:val="004D5199"/>
    <w:rsid w:val="004D69EE"/>
    <w:rsid w:val="004E5A15"/>
    <w:rsid w:val="004F10A7"/>
    <w:rsid w:val="004F1350"/>
    <w:rsid w:val="004F449B"/>
    <w:rsid w:val="004F5B21"/>
    <w:rsid w:val="004F7324"/>
    <w:rsid w:val="00506409"/>
    <w:rsid w:val="0050657D"/>
    <w:rsid w:val="0051315C"/>
    <w:rsid w:val="00530F44"/>
    <w:rsid w:val="00532352"/>
    <w:rsid w:val="005459FF"/>
    <w:rsid w:val="0054608B"/>
    <w:rsid w:val="00561FFD"/>
    <w:rsid w:val="0057092B"/>
    <w:rsid w:val="005711CD"/>
    <w:rsid w:val="00573F8F"/>
    <w:rsid w:val="00580945"/>
    <w:rsid w:val="00592F5C"/>
    <w:rsid w:val="005951BC"/>
    <w:rsid w:val="00595C34"/>
    <w:rsid w:val="005A3886"/>
    <w:rsid w:val="005C64DE"/>
    <w:rsid w:val="005D3434"/>
    <w:rsid w:val="005E14A2"/>
    <w:rsid w:val="00606A30"/>
    <w:rsid w:val="006213F2"/>
    <w:rsid w:val="00626704"/>
    <w:rsid w:val="00631640"/>
    <w:rsid w:val="006327E2"/>
    <w:rsid w:val="006358B7"/>
    <w:rsid w:val="00637B76"/>
    <w:rsid w:val="0064118E"/>
    <w:rsid w:val="0064570B"/>
    <w:rsid w:val="00654707"/>
    <w:rsid w:val="00673900"/>
    <w:rsid w:val="00677253"/>
    <w:rsid w:val="00681A61"/>
    <w:rsid w:val="00685149"/>
    <w:rsid w:val="00687B98"/>
    <w:rsid w:val="00697294"/>
    <w:rsid w:val="006A1E3C"/>
    <w:rsid w:val="006A2125"/>
    <w:rsid w:val="006A747C"/>
    <w:rsid w:val="006B2822"/>
    <w:rsid w:val="006C514E"/>
    <w:rsid w:val="006D0234"/>
    <w:rsid w:val="006E0BD6"/>
    <w:rsid w:val="006E6EED"/>
    <w:rsid w:val="006F659C"/>
    <w:rsid w:val="00700880"/>
    <w:rsid w:val="00700D72"/>
    <w:rsid w:val="007129FB"/>
    <w:rsid w:val="00716DA8"/>
    <w:rsid w:val="00720699"/>
    <w:rsid w:val="00735035"/>
    <w:rsid w:val="00736D05"/>
    <w:rsid w:val="00737617"/>
    <w:rsid w:val="00740B7E"/>
    <w:rsid w:val="0074404C"/>
    <w:rsid w:val="00745550"/>
    <w:rsid w:val="00753DFF"/>
    <w:rsid w:val="00756A0A"/>
    <w:rsid w:val="00760F1F"/>
    <w:rsid w:val="007647F6"/>
    <w:rsid w:val="007712D6"/>
    <w:rsid w:val="0077580C"/>
    <w:rsid w:val="00783E92"/>
    <w:rsid w:val="0078455D"/>
    <w:rsid w:val="00786A90"/>
    <w:rsid w:val="007939B7"/>
    <w:rsid w:val="00796016"/>
    <w:rsid w:val="00797E51"/>
    <w:rsid w:val="007A1AF6"/>
    <w:rsid w:val="007A35D2"/>
    <w:rsid w:val="007C2183"/>
    <w:rsid w:val="007D12A2"/>
    <w:rsid w:val="007D6AD4"/>
    <w:rsid w:val="007E7555"/>
    <w:rsid w:val="007E755D"/>
    <w:rsid w:val="007F6555"/>
    <w:rsid w:val="007F70EA"/>
    <w:rsid w:val="008022F3"/>
    <w:rsid w:val="00807E04"/>
    <w:rsid w:val="00814B08"/>
    <w:rsid w:val="00816D78"/>
    <w:rsid w:val="00830D0D"/>
    <w:rsid w:val="00833AA2"/>
    <w:rsid w:val="00837504"/>
    <w:rsid w:val="00845828"/>
    <w:rsid w:val="00854F1D"/>
    <w:rsid w:val="00864D7D"/>
    <w:rsid w:val="00885524"/>
    <w:rsid w:val="00887660"/>
    <w:rsid w:val="00890EE1"/>
    <w:rsid w:val="00892CD3"/>
    <w:rsid w:val="00893BCE"/>
    <w:rsid w:val="00893C33"/>
    <w:rsid w:val="00897CD4"/>
    <w:rsid w:val="008C2922"/>
    <w:rsid w:val="008D3A7C"/>
    <w:rsid w:val="008D7D26"/>
    <w:rsid w:val="008F00CC"/>
    <w:rsid w:val="008F1A7B"/>
    <w:rsid w:val="008F2413"/>
    <w:rsid w:val="008F6BEA"/>
    <w:rsid w:val="009011E9"/>
    <w:rsid w:val="0090353B"/>
    <w:rsid w:val="00904F43"/>
    <w:rsid w:val="00905867"/>
    <w:rsid w:val="009126C3"/>
    <w:rsid w:val="00920842"/>
    <w:rsid w:val="009214CE"/>
    <w:rsid w:val="0092433C"/>
    <w:rsid w:val="009262E6"/>
    <w:rsid w:val="00930B19"/>
    <w:rsid w:val="009434C3"/>
    <w:rsid w:val="009459B5"/>
    <w:rsid w:val="00945AD2"/>
    <w:rsid w:val="00947CB1"/>
    <w:rsid w:val="009515BE"/>
    <w:rsid w:val="00955BF4"/>
    <w:rsid w:val="00955C3F"/>
    <w:rsid w:val="00957068"/>
    <w:rsid w:val="00961C50"/>
    <w:rsid w:val="00961CEA"/>
    <w:rsid w:val="00973BFF"/>
    <w:rsid w:val="00974682"/>
    <w:rsid w:val="009772B1"/>
    <w:rsid w:val="009872E9"/>
    <w:rsid w:val="009960E7"/>
    <w:rsid w:val="009A0F0E"/>
    <w:rsid w:val="009A6B42"/>
    <w:rsid w:val="009B59F6"/>
    <w:rsid w:val="009B6215"/>
    <w:rsid w:val="009C000B"/>
    <w:rsid w:val="009D0B59"/>
    <w:rsid w:val="009D19EB"/>
    <w:rsid w:val="009D723A"/>
    <w:rsid w:val="009E1EFC"/>
    <w:rsid w:val="009E3817"/>
    <w:rsid w:val="009E7089"/>
    <w:rsid w:val="009E772F"/>
    <w:rsid w:val="009F141D"/>
    <w:rsid w:val="009F3DA0"/>
    <w:rsid w:val="009F6360"/>
    <w:rsid w:val="00A0138A"/>
    <w:rsid w:val="00A01BD4"/>
    <w:rsid w:val="00A10681"/>
    <w:rsid w:val="00A10F2D"/>
    <w:rsid w:val="00A111FA"/>
    <w:rsid w:val="00A12592"/>
    <w:rsid w:val="00A323C0"/>
    <w:rsid w:val="00A356B4"/>
    <w:rsid w:val="00A52C7B"/>
    <w:rsid w:val="00A60D2A"/>
    <w:rsid w:val="00A72E24"/>
    <w:rsid w:val="00A760E1"/>
    <w:rsid w:val="00A909C9"/>
    <w:rsid w:val="00A93959"/>
    <w:rsid w:val="00AB0774"/>
    <w:rsid w:val="00AB34CA"/>
    <w:rsid w:val="00AB66A3"/>
    <w:rsid w:val="00AB6F8A"/>
    <w:rsid w:val="00AE40ED"/>
    <w:rsid w:val="00AF3225"/>
    <w:rsid w:val="00AF758F"/>
    <w:rsid w:val="00B011B1"/>
    <w:rsid w:val="00B0576F"/>
    <w:rsid w:val="00B25B06"/>
    <w:rsid w:val="00B3139F"/>
    <w:rsid w:val="00B3261A"/>
    <w:rsid w:val="00B41A58"/>
    <w:rsid w:val="00B43417"/>
    <w:rsid w:val="00B56873"/>
    <w:rsid w:val="00B62202"/>
    <w:rsid w:val="00B736E9"/>
    <w:rsid w:val="00BA3A75"/>
    <w:rsid w:val="00BA426B"/>
    <w:rsid w:val="00BB3B9F"/>
    <w:rsid w:val="00BB480B"/>
    <w:rsid w:val="00BB5D23"/>
    <w:rsid w:val="00BD1159"/>
    <w:rsid w:val="00BD3982"/>
    <w:rsid w:val="00BD4515"/>
    <w:rsid w:val="00BD5AD2"/>
    <w:rsid w:val="00BD6463"/>
    <w:rsid w:val="00BD745C"/>
    <w:rsid w:val="00BE10DF"/>
    <w:rsid w:val="00BF744D"/>
    <w:rsid w:val="00C0112C"/>
    <w:rsid w:val="00C0138F"/>
    <w:rsid w:val="00C019E4"/>
    <w:rsid w:val="00C01AB9"/>
    <w:rsid w:val="00C04FFF"/>
    <w:rsid w:val="00C129E6"/>
    <w:rsid w:val="00C1407C"/>
    <w:rsid w:val="00C177D6"/>
    <w:rsid w:val="00C20BF0"/>
    <w:rsid w:val="00C30F19"/>
    <w:rsid w:val="00C35948"/>
    <w:rsid w:val="00C359A8"/>
    <w:rsid w:val="00C5421A"/>
    <w:rsid w:val="00C7612C"/>
    <w:rsid w:val="00C77414"/>
    <w:rsid w:val="00C86509"/>
    <w:rsid w:val="00C94D97"/>
    <w:rsid w:val="00CA1309"/>
    <w:rsid w:val="00CA5E90"/>
    <w:rsid w:val="00CA67D2"/>
    <w:rsid w:val="00CC69A5"/>
    <w:rsid w:val="00CD509B"/>
    <w:rsid w:val="00CE69DC"/>
    <w:rsid w:val="00CF035A"/>
    <w:rsid w:val="00CF3FE0"/>
    <w:rsid w:val="00CF786F"/>
    <w:rsid w:val="00D05FC4"/>
    <w:rsid w:val="00D12780"/>
    <w:rsid w:val="00D2717F"/>
    <w:rsid w:val="00D2757D"/>
    <w:rsid w:val="00D32BD8"/>
    <w:rsid w:val="00D37CE6"/>
    <w:rsid w:val="00D42483"/>
    <w:rsid w:val="00D427E2"/>
    <w:rsid w:val="00D50F6B"/>
    <w:rsid w:val="00D60092"/>
    <w:rsid w:val="00D62706"/>
    <w:rsid w:val="00D64392"/>
    <w:rsid w:val="00D73E43"/>
    <w:rsid w:val="00D7623F"/>
    <w:rsid w:val="00D811C0"/>
    <w:rsid w:val="00DA24BA"/>
    <w:rsid w:val="00DB4F5F"/>
    <w:rsid w:val="00DB5914"/>
    <w:rsid w:val="00DB6473"/>
    <w:rsid w:val="00DC221C"/>
    <w:rsid w:val="00DC2D99"/>
    <w:rsid w:val="00DD6DC7"/>
    <w:rsid w:val="00DF2E4E"/>
    <w:rsid w:val="00DF42E6"/>
    <w:rsid w:val="00E164E4"/>
    <w:rsid w:val="00E24BB1"/>
    <w:rsid w:val="00E2647E"/>
    <w:rsid w:val="00E328DE"/>
    <w:rsid w:val="00E35E8B"/>
    <w:rsid w:val="00E43E24"/>
    <w:rsid w:val="00E457C6"/>
    <w:rsid w:val="00E47179"/>
    <w:rsid w:val="00E55224"/>
    <w:rsid w:val="00E6286E"/>
    <w:rsid w:val="00E6394E"/>
    <w:rsid w:val="00E67F3E"/>
    <w:rsid w:val="00E707D5"/>
    <w:rsid w:val="00E74D61"/>
    <w:rsid w:val="00E8017F"/>
    <w:rsid w:val="00E803F5"/>
    <w:rsid w:val="00E95E6A"/>
    <w:rsid w:val="00EA1731"/>
    <w:rsid w:val="00EA4903"/>
    <w:rsid w:val="00EA7896"/>
    <w:rsid w:val="00EB2979"/>
    <w:rsid w:val="00EB3653"/>
    <w:rsid w:val="00EB3B5F"/>
    <w:rsid w:val="00EB5B9C"/>
    <w:rsid w:val="00EC1181"/>
    <w:rsid w:val="00EC1B8F"/>
    <w:rsid w:val="00EC22FC"/>
    <w:rsid w:val="00EC2450"/>
    <w:rsid w:val="00EC75C6"/>
    <w:rsid w:val="00ED521A"/>
    <w:rsid w:val="00ED7BDA"/>
    <w:rsid w:val="00EE0EF0"/>
    <w:rsid w:val="00EE1832"/>
    <w:rsid w:val="00F049D5"/>
    <w:rsid w:val="00F10737"/>
    <w:rsid w:val="00F134F5"/>
    <w:rsid w:val="00F140CF"/>
    <w:rsid w:val="00F14983"/>
    <w:rsid w:val="00F30415"/>
    <w:rsid w:val="00F30FFF"/>
    <w:rsid w:val="00F34E42"/>
    <w:rsid w:val="00F42E58"/>
    <w:rsid w:val="00F43E18"/>
    <w:rsid w:val="00F46A1A"/>
    <w:rsid w:val="00F511E3"/>
    <w:rsid w:val="00F5252C"/>
    <w:rsid w:val="00F56412"/>
    <w:rsid w:val="00F6359F"/>
    <w:rsid w:val="00F66E60"/>
    <w:rsid w:val="00F70D56"/>
    <w:rsid w:val="00F70ED4"/>
    <w:rsid w:val="00F76CA9"/>
    <w:rsid w:val="00F84057"/>
    <w:rsid w:val="00F90B04"/>
    <w:rsid w:val="00F91F12"/>
    <w:rsid w:val="00F95B81"/>
    <w:rsid w:val="00FA0F29"/>
    <w:rsid w:val="00FB2435"/>
    <w:rsid w:val="00FB321D"/>
    <w:rsid w:val="00FB3C87"/>
    <w:rsid w:val="00FB46A6"/>
    <w:rsid w:val="00FC0F5F"/>
    <w:rsid w:val="00FD1E6E"/>
    <w:rsid w:val="00FD5895"/>
    <w:rsid w:val="00FD746B"/>
    <w:rsid w:val="00FE64BA"/>
    <w:rsid w:val="00FF486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13F10E0B"/>
  <w15:docId w15:val="{0B5F1605-379C-4084-AD9E-CFE3164D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6C3"/>
    <w:pPr>
      <w:spacing w:after="0" w:line="240" w:lineRule="auto"/>
    </w:pPr>
    <w:rPr>
      <w:sz w:val="20"/>
    </w:rPr>
  </w:style>
  <w:style w:type="paragraph" w:styleId="Heading1">
    <w:name w:val="heading 1"/>
    <w:next w:val="Normal"/>
    <w:link w:val="Heading1Char"/>
    <w:uiPriority w:val="9"/>
    <w:qFormat/>
    <w:rsid w:val="00905867"/>
    <w:pPr>
      <w:keepNext/>
      <w:keepLines/>
      <w:numPr>
        <w:numId w:val="15"/>
      </w:numPr>
      <w:spacing w:before="240" w:after="0" w:line="480" w:lineRule="exact"/>
      <w:ind w:left="720" w:hanging="720"/>
      <w:outlineLvl w:val="0"/>
    </w:pPr>
    <w:rPr>
      <w:rFonts w:ascii="Arial" w:eastAsiaTheme="majorEastAsia" w:hAnsi="Arial" w:cs="Arial"/>
      <w:b/>
      <w:bCs/>
      <w:color w:val="25A9E0" w:themeColor="text2"/>
      <w:sz w:val="44"/>
      <w:szCs w:val="44"/>
    </w:rPr>
  </w:style>
  <w:style w:type="paragraph" w:styleId="Heading2">
    <w:name w:val="heading 2"/>
    <w:next w:val="Normal"/>
    <w:link w:val="Heading2Char"/>
    <w:uiPriority w:val="9"/>
    <w:qFormat/>
    <w:rsid w:val="00CA67D2"/>
    <w:pPr>
      <w:keepNext/>
      <w:keepLines/>
      <w:numPr>
        <w:ilvl w:val="1"/>
        <w:numId w:val="15"/>
      </w:numPr>
      <w:spacing w:before="240" w:after="120" w:line="280" w:lineRule="exact"/>
      <w:ind w:left="720" w:hanging="720"/>
      <w:outlineLvl w:val="1"/>
    </w:pPr>
    <w:rPr>
      <w:rFonts w:ascii="Arial" w:eastAsiaTheme="majorEastAsia" w:hAnsi="Arial" w:cs="Arial"/>
      <w:b/>
      <w:bCs/>
      <w:color w:val="112B4A"/>
      <w:sz w:val="24"/>
      <w:szCs w:val="24"/>
    </w:rPr>
  </w:style>
  <w:style w:type="paragraph" w:styleId="Heading3">
    <w:name w:val="heading 3"/>
    <w:next w:val="Normal"/>
    <w:link w:val="Heading3Char"/>
    <w:uiPriority w:val="9"/>
    <w:qFormat/>
    <w:rsid w:val="00AF758F"/>
    <w:pPr>
      <w:keepNext/>
      <w:keepLines/>
      <w:numPr>
        <w:ilvl w:val="2"/>
        <w:numId w:val="15"/>
      </w:numPr>
      <w:spacing w:before="240" w:after="120" w:line="240" w:lineRule="exact"/>
      <w:ind w:left="720" w:hanging="720"/>
      <w:outlineLvl w:val="2"/>
    </w:pPr>
    <w:rPr>
      <w:rFonts w:ascii="Arial" w:eastAsiaTheme="majorEastAsia" w:hAnsi="Arial" w:cs="Arial"/>
      <w:b/>
      <w:color w:val="152135"/>
      <w:sz w:val="20"/>
      <w:szCs w:val="20"/>
    </w:rPr>
  </w:style>
  <w:style w:type="paragraph" w:styleId="Heading4">
    <w:name w:val="heading 4"/>
    <w:next w:val="Normal"/>
    <w:link w:val="Heading4Char"/>
    <w:uiPriority w:val="9"/>
    <w:semiHidden/>
    <w:qFormat/>
    <w:rsid w:val="00955C3F"/>
    <w:pPr>
      <w:keepNext/>
      <w:keepLines/>
      <w:numPr>
        <w:ilvl w:val="3"/>
        <w:numId w:val="15"/>
      </w:numPr>
      <w:spacing w:before="40" w:after="0"/>
      <w:outlineLvl w:val="3"/>
    </w:pPr>
    <w:rPr>
      <w:rFonts w:eastAsiaTheme="majorEastAsia" w:cstheme="majorBidi"/>
      <w:i/>
      <w:iCs/>
      <w:caps/>
      <w:color w:val="112B4A" w:themeColor="text1"/>
    </w:rPr>
  </w:style>
  <w:style w:type="paragraph" w:styleId="Heading5">
    <w:name w:val="heading 5"/>
    <w:next w:val="Normal"/>
    <w:link w:val="Heading5Char"/>
    <w:uiPriority w:val="9"/>
    <w:semiHidden/>
    <w:qFormat/>
    <w:rsid w:val="00955C3F"/>
    <w:pPr>
      <w:keepNext/>
      <w:keepLines/>
      <w:numPr>
        <w:ilvl w:val="4"/>
        <w:numId w:val="15"/>
      </w:numPr>
      <w:spacing w:before="40" w:after="0"/>
      <w:outlineLvl w:val="4"/>
    </w:pPr>
    <w:rPr>
      <w:rFonts w:eastAsiaTheme="majorEastAsia" w:cstheme="majorBidi"/>
      <w:caps/>
      <w:color w:val="112B4A"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55C3F"/>
    <w:pPr>
      <w:tabs>
        <w:tab w:val="center" w:pos="4513"/>
        <w:tab w:val="right" w:pos="9026"/>
      </w:tabs>
    </w:pPr>
  </w:style>
  <w:style w:type="character" w:customStyle="1" w:styleId="HeaderChar">
    <w:name w:val="Header Char"/>
    <w:basedOn w:val="DefaultParagraphFont"/>
    <w:link w:val="Header"/>
    <w:uiPriority w:val="99"/>
    <w:semiHidden/>
    <w:rsid w:val="00491DED"/>
    <w:rPr>
      <w:rFonts w:ascii="Calibri" w:hAnsi="Calibri"/>
      <w:sz w:val="18"/>
    </w:rPr>
  </w:style>
  <w:style w:type="paragraph" w:styleId="Footer">
    <w:name w:val="footer"/>
    <w:basedOn w:val="Normal"/>
    <w:link w:val="FooterChar"/>
    <w:uiPriority w:val="99"/>
    <w:semiHidden/>
    <w:rsid w:val="00740B7E"/>
    <w:pPr>
      <w:pBdr>
        <w:top w:val="single" w:sz="4" w:space="18" w:color="C2CACE"/>
      </w:pBdr>
      <w:tabs>
        <w:tab w:val="right" w:pos="405"/>
        <w:tab w:val="left" w:pos="657"/>
        <w:tab w:val="right" w:pos="10080"/>
      </w:tabs>
    </w:pPr>
    <w:rPr>
      <w:rFonts w:ascii="Arial" w:hAnsi="Arial" w:cs="Arial"/>
      <w:color w:val="5A6874"/>
      <w:sz w:val="14"/>
      <w:szCs w:val="14"/>
    </w:rPr>
  </w:style>
  <w:style w:type="character" w:customStyle="1" w:styleId="FooterChar">
    <w:name w:val="Footer Char"/>
    <w:basedOn w:val="DefaultParagraphFont"/>
    <w:link w:val="Footer"/>
    <w:uiPriority w:val="99"/>
    <w:semiHidden/>
    <w:rsid w:val="00740B7E"/>
    <w:rPr>
      <w:rFonts w:ascii="Arial" w:hAnsi="Arial" w:cs="Arial"/>
      <w:color w:val="5A6874"/>
      <w:sz w:val="14"/>
      <w:szCs w:val="14"/>
    </w:rPr>
  </w:style>
  <w:style w:type="table" w:styleId="TableGrid">
    <w:name w:val="Table Grid"/>
    <w:basedOn w:val="TableNormal"/>
    <w:uiPriority w:val="39"/>
    <w:rsid w:val="00955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TextwithLine">
    <w:name w:val="Intro Text with Line"/>
    <w:basedOn w:val="IntroText"/>
    <w:qFormat/>
    <w:rsid w:val="00082DEB"/>
    <w:pPr>
      <w:pBdr>
        <w:bottom w:val="single" w:sz="4" w:space="16" w:color="C2CACE"/>
      </w:pBdr>
      <w:spacing w:after="320"/>
    </w:pPr>
  </w:style>
  <w:style w:type="paragraph" w:customStyle="1" w:styleId="TableHeader">
    <w:name w:val="Table Header"/>
    <w:basedOn w:val="Normal"/>
    <w:qFormat/>
    <w:rsid w:val="0092433C"/>
    <w:pPr>
      <w:keepNext/>
      <w:spacing w:before="40" w:after="40"/>
      <w:contextualSpacing/>
    </w:pPr>
    <w:rPr>
      <w:b/>
      <w:color w:val="FFFFFF" w:themeColor="background2"/>
      <w:sz w:val="18"/>
    </w:rPr>
  </w:style>
  <w:style w:type="paragraph" w:styleId="FootnoteText">
    <w:name w:val="footnote text"/>
    <w:basedOn w:val="disclaimer"/>
    <w:link w:val="FootnoteTextChar"/>
    <w:uiPriority w:val="99"/>
    <w:semiHidden/>
    <w:rsid w:val="00E74D61"/>
    <w:rPr>
      <w:szCs w:val="20"/>
    </w:rPr>
  </w:style>
  <w:style w:type="character" w:customStyle="1" w:styleId="FootnoteTextChar">
    <w:name w:val="Footnote Text Char"/>
    <w:basedOn w:val="DefaultParagraphFont"/>
    <w:link w:val="FootnoteText"/>
    <w:uiPriority w:val="99"/>
    <w:semiHidden/>
    <w:rsid w:val="00E74D61"/>
    <w:rPr>
      <w:rFonts w:ascii="Arial" w:hAnsi="Arial" w:cs="Arial"/>
      <w:color w:val="556167"/>
      <w:sz w:val="12"/>
      <w:szCs w:val="20"/>
      <w:lang w:val="en-US"/>
    </w:rPr>
  </w:style>
  <w:style w:type="character" w:styleId="FootnoteReference">
    <w:name w:val="footnote reference"/>
    <w:basedOn w:val="DefaultParagraphFont"/>
    <w:uiPriority w:val="99"/>
    <w:semiHidden/>
    <w:rsid w:val="00044BE2"/>
    <w:rPr>
      <w:color w:val="556167"/>
      <w:vertAlign w:val="superscript"/>
    </w:rPr>
  </w:style>
  <w:style w:type="paragraph" w:customStyle="1" w:styleId="disclaimer">
    <w:name w:val="disclaimer"/>
    <w:basedOn w:val="Normal"/>
    <w:qFormat/>
    <w:rsid w:val="00E74D61"/>
    <w:pPr>
      <w:keepLines/>
      <w:spacing w:after="120"/>
    </w:pPr>
    <w:rPr>
      <w:rFonts w:ascii="Arial" w:hAnsi="Arial" w:cs="Arial"/>
      <w:color w:val="556167"/>
      <w:sz w:val="12"/>
      <w:szCs w:val="12"/>
      <w:lang w:val="en-US"/>
    </w:rPr>
  </w:style>
  <w:style w:type="paragraph" w:customStyle="1" w:styleId="TableCaption">
    <w:name w:val="Table Caption"/>
    <w:basedOn w:val="Normal"/>
    <w:qFormat/>
    <w:rsid w:val="00166320"/>
    <w:pPr>
      <w:keepNext/>
      <w:keepLines/>
      <w:spacing w:before="280" w:after="120"/>
    </w:pPr>
    <w:rPr>
      <w:b/>
      <w:color w:val="25A9E0" w:themeColor="text2"/>
    </w:rPr>
  </w:style>
  <w:style w:type="paragraph" w:styleId="ListBullet5">
    <w:name w:val="List Bullet 5"/>
    <w:basedOn w:val="ListBullet4"/>
    <w:uiPriority w:val="99"/>
    <w:semiHidden/>
    <w:rsid w:val="00C01AB9"/>
    <w:pPr>
      <w:numPr>
        <w:numId w:val="34"/>
      </w:numPr>
    </w:pPr>
  </w:style>
  <w:style w:type="table" w:customStyle="1" w:styleId="CMETable">
    <w:name w:val="CME Table"/>
    <w:basedOn w:val="TableNormal"/>
    <w:uiPriority w:val="99"/>
    <w:rsid w:val="0092433C"/>
    <w:pPr>
      <w:spacing w:after="0" w:line="240" w:lineRule="auto"/>
    </w:pPr>
    <w:tblPr>
      <w:tblStyleColBandSize w:val="1"/>
      <w:tblBorders>
        <w:insideH w:val="single" w:sz="4" w:space="0" w:color="C2CACE"/>
      </w:tblBorders>
      <w:tblCellMar>
        <w:top w:w="29" w:type="dxa"/>
        <w:left w:w="29" w:type="dxa"/>
        <w:bottom w:w="29" w:type="dxa"/>
        <w:right w:w="58" w:type="dxa"/>
      </w:tblCellMar>
    </w:tblPr>
    <w:tcPr>
      <w:vAlign w:val="center"/>
    </w:tcPr>
    <w:tblStylePr w:type="firstRow">
      <w:pPr>
        <w:jc w:val="left"/>
      </w:pPr>
      <w:tblPr/>
      <w:tcPr>
        <w:shd w:val="clear" w:color="auto" w:fill="112B4A" w:themeFill="text1"/>
      </w:tcPr>
    </w:tblStylePr>
    <w:tblStylePr w:type="lastRow">
      <w:tblPr/>
      <w:tcPr>
        <w:shd w:val="clear" w:color="auto" w:fill="FFFFFF" w:themeFill="background2"/>
      </w:tcPr>
    </w:tblStylePr>
    <w:tblStylePr w:type="band2Vert">
      <w:tblPr/>
      <w:tcPr>
        <w:shd w:val="clear" w:color="auto" w:fill="EBEDEE" w:themeFill="background1"/>
      </w:tcPr>
    </w:tblStylePr>
  </w:style>
  <w:style w:type="paragraph" w:customStyle="1" w:styleId="TableRowHeader">
    <w:name w:val="Table Row Header"/>
    <w:basedOn w:val="Normal"/>
    <w:qFormat/>
    <w:rsid w:val="00816D78"/>
    <w:rPr>
      <w:b/>
      <w:color w:val="25323C"/>
      <w:sz w:val="18"/>
    </w:rPr>
  </w:style>
  <w:style w:type="paragraph" w:customStyle="1" w:styleId="TableTotalRowHeader">
    <w:name w:val="Table Total Row Header"/>
    <w:basedOn w:val="TableRowHeader"/>
    <w:qFormat/>
    <w:rsid w:val="00816D78"/>
  </w:style>
  <w:style w:type="paragraph" w:customStyle="1" w:styleId="TableNumbers">
    <w:name w:val="Table Numbers"/>
    <w:basedOn w:val="TableRowHeader"/>
    <w:qFormat/>
    <w:rsid w:val="00816D78"/>
    <w:pPr>
      <w:jc w:val="right"/>
    </w:pPr>
    <w:rPr>
      <w:b w:val="0"/>
    </w:rPr>
  </w:style>
  <w:style w:type="paragraph" w:customStyle="1" w:styleId="NameJobTitle">
    <w:name w:val="Name &amp; Job Title"/>
    <w:basedOn w:val="Normal"/>
    <w:qFormat/>
    <w:rsid w:val="00E328DE"/>
    <w:pPr>
      <w:spacing w:before="60" w:after="360" w:line="260" w:lineRule="exact"/>
      <w:contextualSpacing/>
    </w:pPr>
    <w:rPr>
      <w:rFonts w:ascii="Arial" w:hAnsi="Arial" w:cs="Arial"/>
      <w:b/>
      <w:bCs/>
      <w:color w:val="25A9E0"/>
      <w:szCs w:val="20"/>
    </w:rPr>
  </w:style>
  <w:style w:type="paragraph" w:customStyle="1" w:styleId="IntroText">
    <w:name w:val="Intro Text"/>
    <w:basedOn w:val="Normal"/>
    <w:qFormat/>
    <w:rsid w:val="002D68D4"/>
    <w:pPr>
      <w:spacing w:before="240" w:after="480" w:line="320" w:lineRule="exact"/>
      <w:contextualSpacing/>
    </w:pPr>
    <w:rPr>
      <w:rFonts w:ascii="Arial" w:hAnsi="Arial" w:cs="Arial"/>
      <w:color w:val="112B4A"/>
      <w:sz w:val="24"/>
      <w:szCs w:val="24"/>
    </w:rPr>
  </w:style>
  <w:style w:type="paragraph" w:customStyle="1" w:styleId="TableTotalNumbers">
    <w:name w:val="Table Total Numbers"/>
    <w:basedOn w:val="TableTotalRowHeader"/>
    <w:qFormat/>
    <w:rsid w:val="00816D78"/>
    <w:pPr>
      <w:jc w:val="right"/>
    </w:pPr>
  </w:style>
  <w:style w:type="paragraph" w:customStyle="1" w:styleId="TableBullet1">
    <w:name w:val="Table Bullet 1"/>
    <w:basedOn w:val="TableNumbers"/>
    <w:qFormat/>
    <w:rsid w:val="00D73E43"/>
    <w:pPr>
      <w:numPr>
        <w:numId w:val="27"/>
      </w:numPr>
      <w:spacing w:after="40"/>
      <w:ind w:left="173" w:hanging="173"/>
      <w:jc w:val="left"/>
    </w:pPr>
  </w:style>
  <w:style w:type="paragraph" w:customStyle="1" w:styleId="TableBullet2">
    <w:name w:val="Table Bullet 2"/>
    <w:basedOn w:val="TableBullet1"/>
    <w:qFormat/>
    <w:rsid w:val="00D73E43"/>
    <w:pPr>
      <w:numPr>
        <w:ilvl w:val="1"/>
      </w:numPr>
      <w:ind w:left="346" w:hanging="173"/>
    </w:pPr>
  </w:style>
  <w:style w:type="paragraph" w:customStyle="1" w:styleId="BodyTextwithLine">
    <w:name w:val="Body Text with Line"/>
    <w:basedOn w:val="BodyText"/>
    <w:qFormat/>
    <w:rsid w:val="00006B4A"/>
    <w:pPr>
      <w:pBdr>
        <w:bottom w:val="single" w:sz="4" w:space="16" w:color="C2CACE"/>
      </w:pBdr>
    </w:pPr>
  </w:style>
  <w:style w:type="paragraph" w:customStyle="1" w:styleId="TableBullet3">
    <w:name w:val="Table Bullet 3"/>
    <w:basedOn w:val="TableBullet2"/>
    <w:qFormat/>
    <w:rsid w:val="00D73E43"/>
    <w:pPr>
      <w:numPr>
        <w:ilvl w:val="2"/>
      </w:numPr>
      <w:ind w:left="519" w:hanging="173"/>
    </w:pPr>
  </w:style>
  <w:style w:type="paragraph" w:styleId="Revision">
    <w:name w:val="Revision"/>
    <w:hidden/>
    <w:uiPriority w:val="99"/>
    <w:semiHidden/>
    <w:rsid w:val="00006B4A"/>
    <w:pPr>
      <w:spacing w:after="0" w:line="240" w:lineRule="auto"/>
    </w:pPr>
    <w:rPr>
      <w:sz w:val="20"/>
    </w:rPr>
  </w:style>
  <w:style w:type="paragraph" w:customStyle="1" w:styleId="KeyMessage">
    <w:name w:val="Key Message"/>
    <w:basedOn w:val="Normal"/>
    <w:qFormat/>
    <w:rsid w:val="00E328DE"/>
    <w:pPr>
      <w:spacing w:after="240" w:line="520" w:lineRule="exact"/>
      <w:contextualSpacing/>
    </w:pPr>
    <w:rPr>
      <w:rFonts w:ascii="Arial" w:hAnsi="Arial" w:cs="Arial"/>
      <w:color w:val="112B4A" w:themeColor="text1"/>
      <w:sz w:val="44"/>
      <w:szCs w:val="44"/>
    </w:rPr>
  </w:style>
  <w:style w:type="paragraph" w:styleId="TOC1">
    <w:name w:val="toc 1"/>
    <w:basedOn w:val="Normal"/>
    <w:next w:val="Normal"/>
    <w:autoRedefine/>
    <w:uiPriority w:val="39"/>
    <w:rsid w:val="00F134F5"/>
    <w:pPr>
      <w:keepNext/>
      <w:keepLines/>
      <w:tabs>
        <w:tab w:val="left" w:pos="720"/>
        <w:tab w:val="right" w:pos="9734"/>
      </w:tabs>
      <w:spacing w:before="120" w:after="120"/>
      <w:jc w:val="right"/>
    </w:pPr>
    <w:rPr>
      <w:rFonts w:ascii="Arial" w:hAnsi="Arial" w:cs="Arial"/>
      <w:noProof/>
      <w:color w:val="25A9E0"/>
      <w:szCs w:val="18"/>
    </w:rPr>
  </w:style>
  <w:style w:type="paragraph" w:styleId="TOC2">
    <w:name w:val="toc 2"/>
    <w:basedOn w:val="Normal"/>
    <w:next w:val="Normal"/>
    <w:autoRedefine/>
    <w:uiPriority w:val="39"/>
    <w:rsid w:val="00F134F5"/>
    <w:pPr>
      <w:keepLines/>
      <w:tabs>
        <w:tab w:val="left" w:pos="720"/>
        <w:tab w:val="right" w:pos="9734"/>
      </w:tabs>
      <w:spacing w:before="60" w:line="276" w:lineRule="auto"/>
    </w:pPr>
    <w:rPr>
      <w:rFonts w:ascii="Arial" w:hAnsi="Arial" w:cs="Arial"/>
      <w:noProof/>
      <w:color w:val="112B4A"/>
      <w:szCs w:val="20"/>
    </w:rPr>
  </w:style>
  <w:style w:type="paragraph" w:styleId="Quote">
    <w:name w:val="Quote"/>
    <w:next w:val="Normal"/>
    <w:link w:val="QuoteChar"/>
    <w:uiPriority w:val="29"/>
    <w:semiHidden/>
    <w:qFormat/>
    <w:rsid w:val="00745550"/>
    <w:pPr>
      <w:keepNext/>
      <w:keepLines/>
      <w:spacing w:before="360" w:after="120" w:line="240" w:lineRule="exact"/>
      <w:ind w:left="720"/>
    </w:pPr>
    <w:rPr>
      <w:rFonts w:ascii="Arial" w:hAnsi="Arial" w:cs="Arial"/>
      <w:color w:val="5A6874"/>
      <w:sz w:val="20"/>
      <w:szCs w:val="20"/>
    </w:rPr>
  </w:style>
  <w:style w:type="paragraph" w:customStyle="1" w:styleId="Space">
    <w:name w:val="Space"/>
    <w:basedOn w:val="Normal"/>
    <w:semiHidden/>
    <w:qFormat/>
    <w:rsid w:val="00955C3F"/>
    <w:rPr>
      <w:color w:val="112B4A" w:themeColor="text1"/>
      <w:sz w:val="2"/>
    </w:rPr>
  </w:style>
  <w:style w:type="character" w:styleId="Hyperlink">
    <w:name w:val="Hyperlink"/>
    <w:basedOn w:val="DefaultParagraphFont"/>
    <w:uiPriority w:val="99"/>
    <w:semiHidden/>
    <w:rsid w:val="00FA0F29"/>
    <w:rPr>
      <w:color w:val="25A9E0"/>
      <w:u w:val="none"/>
    </w:rPr>
  </w:style>
  <w:style w:type="character" w:customStyle="1" w:styleId="Heading1Char">
    <w:name w:val="Heading 1 Char"/>
    <w:basedOn w:val="DefaultParagraphFont"/>
    <w:link w:val="Heading1"/>
    <w:uiPriority w:val="9"/>
    <w:rsid w:val="00905867"/>
    <w:rPr>
      <w:rFonts w:ascii="Arial" w:eastAsiaTheme="majorEastAsia" w:hAnsi="Arial" w:cs="Arial"/>
      <w:b/>
      <w:bCs/>
      <w:color w:val="25A9E0" w:themeColor="text2"/>
      <w:sz w:val="44"/>
      <w:szCs w:val="44"/>
    </w:rPr>
  </w:style>
  <w:style w:type="character" w:customStyle="1" w:styleId="Heading2Char">
    <w:name w:val="Heading 2 Char"/>
    <w:basedOn w:val="DefaultParagraphFont"/>
    <w:link w:val="Heading2"/>
    <w:uiPriority w:val="9"/>
    <w:rsid w:val="00CA67D2"/>
    <w:rPr>
      <w:rFonts w:ascii="Arial" w:eastAsiaTheme="majorEastAsia" w:hAnsi="Arial" w:cs="Arial"/>
      <w:b/>
      <w:bCs/>
      <w:color w:val="112B4A"/>
      <w:sz w:val="24"/>
      <w:szCs w:val="24"/>
    </w:rPr>
  </w:style>
  <w:style w:type="character" w:customStyle="1" w:styleId="Heading3Char">
    <w:name w:val="Heading 3 Char"/>
    <w:basedOn w:val="DefaultParagraphFont"/>
    <w:link w:val="Heading3"/>
    <w:uiPriority w:val="9"/>
    <w:rsid w:val="00AF758F"/>
    <w:rPr>
      <w:rFonts w:ascii="Arial" w:eastAsiaTheme="majorEastAsia" w:hAnsi="Arial" w:cs="Arial"/>
      <w:b/>
      <w:color w:val="152135"/>
      <w:sz w:val="20"/>
      <w:szCs w:val="20"/>
    </w:rPr>
  </w:style>
  <w:style w:type="character" w:customStyle="1" w:styleId="Heading4Char">
    <w:name w:val="Heading 4 Char"/>
    <w:basedOn w:val="DefaultParagraphFont"/>
    <w:link w:val="Heading4"/>
    <w:uiPriority w:val="9"/>
    <w:semiHidden/>
    <w:rsid w:val="00491DED"/>
    <w:rPr>
      <w:rFonts w:eastAsiaTheme="majorEastAsia" w:cstheme="majorBidi"/>
      <w:i/>
      <w:iCs/>
      <w:caps/>
      <w:color w:val="112B4A" w:themeColor="text1"/>
    </w:rPr>
  </w:style>
  <w:style w:type="character" w:customStyle="1" w:styleId="Heading5Char">
    <w:name w:val="Heading 5 Char"/>
    <w:basedOn w:val="DefaultParagraphFont"/>
    <w:link w:val="Heading5"/>
    <w:uiPriority w:val="9"/>
    <w:semiHidden/>
    <w:rsid w:val="00491DED"/>
    <w:rPr>
      <w:rFonts w:eastAsiaTheme="majorEastAsia" w:cstheme="majorBidi"/>
      <w:caps/>
      <w:color w:val="112B4A" w:themeColor="text1"/>
    </w:rPr>
  </w:style>
  <w:style w:type="paragraph" w:styleId="ListParagraph">
    <w:name w:val="List Paragraph"/>
    <w:basedOn w:val="Normal"/>
    <w:uiPriority w:val="34"/>
    <w:semiHidden/>
    <w:qFormat/>
    <w:rsid w:val="006358B7"/>
    <w:pPr>
      <w:spacing w:after="120"/>
      <w:ind w:left="720"/>
      <w:contextualSpacing/>
    </w:pPr>
    <w:rPr>
      <w:color w:val="5A6874" w:themeColor="accent6"/>
    </w:rPr>
  </w:style>
  <w:style w:type="character" w:customStyle="1" w:styleId="QuoteChar">
    <w:name w:val="Quote Char"/>
    <w:basedOn w:val="DefaultParagraphFont"/>
    <w:link w:val="Quote"/>
    <w:uiPriority w:val="29"/>
    <w:semiHidden/>
    <w:rsid w:val="00745550"/>
    <w:rPr>
      <w:rFonts w:ascii="Arial" w:hAnsi="Arial" w:cs="Arial"/>
      <w:color w:val="5A6874"/>
      <w:sz w:val="20"/>
      <w:szCs w:val="20"/>
    </w:rPr>
  </w:style>
  <w:style w:type="numbering" w:customStyle="1" w:styleId="NEX">
    <w:name w:val="NEX"/>
    <w:uiPriority w:val="99"/>
    <w:rsid w:val="00E55224"/>
    <w:pPr>
      <w:numPr>
        <w:numId w:val="28"/>
      </w:numPr>
    </w:pPr>
  </w:style>
  <w:style w:type="table" w:customStyle="1" w:styleId="TableGrid1">
    <w:name w:val="Table Grid1"/>
    <w:basedOn w:val="TableNormal"/>
    <w:next w:val="TableGrid"/>
    <w:uiPriority w:val="39"/>
    <w:rsid w:val="00631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31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EX">
    <w:name w:val="Table_NEX"/>
    <w:basedOn w:val="TableNormal"/>
    <w:uiPriority w:val="99"/>
    <w:rsid w:val="00DB4F5F"/>
    <w:pPr>
      <w:spacing w:after="0" w:line="240" w:lineRule="auto"/>
    </w:pPr>
    <w:tblPr>
      <w:tblBorders>
        <w:bottom w:val="single" w:sz="4" w:space="0" w:color="1F3374" w:themeColor="accent1"/>
      </w:tblBorders>
    </w:tblPr>
    <w:tblStylePr w:type="firstRow">
      <w:tblPr/>
      <w:tcPr>
        <w:shd w:val="clear" w:color="auto" w:fill="1F3374" w:themeFill="accent1"/>
      </w:tcPr>
    </w:tblStylePr>
  </w:style>
  <w:style w:type="paragraph" w:styleId="NoSpacing">
    <w:name w:val="No Spacing"/>
    <w:link w:val="NoSpacingChar"/>
    <w:uiPriority w:val="1"/>
    <w:qFormat/>
    <w:rsid w:val="00AB34CA"/>
    <w:pPr>
      <w:spacing w:after="0" w:line="240" w:lineRule="auto"/>
    </w:pPr>
    <w:rPr>
      <w:lang w:val="en-US" w:eastAsia="zh-CN"/>
    </w:rPr>
  </w:style>
  <w:style w:type="character" w:customStyle="1" w:styleId="NoSpacingChar">
    <w:name w:val="No Spacing Char"/>
    <w:basedOn w:val="DefaultParagraphFont"/>
    <w:link w:val="NoSpacing"/>
    <w:uiPriority w:val="1"/>
    <w:rsid w:val="00AB34CA"/>
    <w:rPr>
      <w:lang w:val="en-US" w:eastAsia="zh-CN"/>
    </w:rPr>
  </w:style>
  <w:style w:type="character" w:styleId="PageNumber">
    <w:name w:val="page number"/>
    <w:basedOn w:val="DefaultParagraphFont"/>
    <w:uiPriority w:val="99"/>
    <w:semiHidden/>
    <w:rsid w:val="0077580C"/>
  </w:style>
  <w:style w:type="paragraph" w:styleId="BalloonText">
    <w:name w:val="Balloon Text"/>
    <w:basedOn w:val="Normal"/>
    <w:link w:val="BalloonTextChar"/>
    <w:uiPriority w:val="99"/>
    <w:semiHidden/>
    <w:rsid w:val="00431D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31D35"/>
    <w:rPr>
      <w:rFonts w:ascii="Times New Roman" w:hAnsi="Times New Roman" w:cs="Times New Roman"/>
      <w:sz w:val="18"/>
      <w:szCs w:val="18"/>
    </w:rPr>
  </w:style>
  <w:style w:type="paragraph" w:customStyle="1" w:styleId="TitleCME">
    <w:name w:val="Title CME"/>
    <w:qFormat/>
    <w:rsid w:val="00071CA2"/>
    <w:pPr>
      <w:keepNext/>
      <w:keepLines/>
      <w:spacing w:before="780" w:after="360" w:line="240" w:lineRule="auto"/>
      <w:contextualSpacing/>
    </w:pPr>
    <w:rPr>
      <w:rFonts w:ascii="Arial" w:hAnsi="Arial" w:cs="Arial"/>
      <w:b/>
      <w:bCs/>
      <w:color w:val="25A9E0" w:themeColor="text2"/>
      <w:sz w:val="56"/>
      <w:szCs w:val="56"/>
    </w:rPr>
  </w:style>
  <w:style w:type="paragraph" w:styleId="BlockText">
    <w:name w:val="Block Text"/>
    <w:basedOn w:val="Normal"/>
    <w:uiPriority w:val="99"/>
    <w:semiHidden/>
    <w:rsid w:val="00E328DE"/>
    <w:pPr>
      <w:spacing w:after="120" w:line="260" w:lineRule="exact"/>
    </w:pPr>
    <w:rPr>
      <w:rFonts w:ascii="Arial" w:hAnsi="Arial" w:cs="Arial"/>
      <w:color w:val="25323C"/>
      <w:szCs w:val="20"/>
    </w:rPr>
  </w:style>
  <w:style w:type="paragraph" w:styleId="BodyText">
    <w:name w:val="Body Text"/>
    <w:basedOn w:val="BlockText"/>
    <w:link w:val="BodyTextChar"/>
    <w:uiPriority w:val="99"/>
    <w:semiHidden/>
    <w:rsid w:val="00816D78"/>
    <w:pPr>
      <w:keepLines/>
      <w:spacing w:before="240" w:after="240"/>
    </w:pPr>
  </w:style>
  <w:style w:type="character" w:customStyle="1" w:styleId="BodyTextChar">
    <w:name w:val="Body Text Char"/>
    <w:basedOn w:val="DefaultParagraphFont"/>
    <w:link w:val="BodyText"/>
    <w:uiPriority w:val="99"/>
    <w:semiHidden/>
    <w:rsid w:val="00816D78"/>
    <w:rPr>
      <w:rFonts w:ascii="Arial" w:hAnsi="Arial" w:cs="Arial"/>
      <w:color w:val="25323C"/>
      <w:sz w:val="20"/>
      <w:szCs w:val="20"/>
    </w:rPr>
  </w:style>
  <w:style w:type="paragraph" w:customStyle="1" w:styleId="BodyHeader">
    <w:name w:val="Body Header"/>
    <w:qFormat/>
    <w:rsid w:val="00816D78"/>
    <w:pPr>
      <w:keepNext/>
      <w:keepLines/>
      <w:spacing w:before="240" w:after="240" w:line="260" w:lineRule="exact"/>
    </w:pPr>
    <w:rPr>
      <w:rFonts w:ascii="Arial" w:hAnsi="Arial" w:cs="Arial"/>
      <w:b/>
      <w:color w:val="112B4A"/>
      <w:sz w:val="20"/>
      <w:szCs w:val="20"/>
    </w:rPr>
  </w:style>
  <w:style w:type="paragraph" w:customStyle="1" w:styleId="Date1">
    <w:name w:val="Date1"/>
    <w:basedOn w:val="Normal"/>
    <w:qFormat/>
    <w:rsid w:val="001C3A8A"/>
    <w:pPr>
      <w:spacing w:before="120" w:after="120" w:line="260" w:lineRule="exact"/>
      <w:jc w:val="center"/>
    </w:pPr>
    <w:rPr>
      <w:rFonts w:ascii="Arial" w:hAnsi="Arial" w:cs="Arial"/>
      <w:bCs/>
      <w:caps/>
      <w:color w:val="5A6874"/>
      <w:szCs w:val="20"/>
    </w:rPr>
  </w:style>
  <w:style w:type="paragraph" w:customStyle="1" w:styleId="version">
    <w:name w:val="version"/>
    <w:qFormat/>
    <w:rsid w:val="002F2FF3"/>
    <w:pPr>
      <w:spacing w:before="120" w:after="120" w:line="260" w:lineRule="exact"/>
    </w:pPr>
    <w:rPr>
      <w:rFonts w:ascii="Arial" w:hAnsi="Arial" w:cs="Arial"/>
      <w:b/>
      <w:bCs/>
      <w:noProof/>
      <w:color w:val="5A6874"/>
      <w:sz w:val="20"/>
      <w:szCs w:val="20"/>
    </w:rPr>
  </w:style>
  <w:style w:type="paragraph" w:styleId="TOCHeading">
    <w:name w:val="TOC Heading"/>
    <w:next w:val="Normal"/>
    <w:uiPriority w:val="39"/>
    <w:unhideWhenUsed/>
    <w:qFormat/>
    <w:rsid w:val="009126C3"/>
    <w:pPr>
      <w:pBdr>
        <w:bottom w:val="single" w:sz="4" w:space="12" w:color="C2CACE"/>
      </w:pBdr>
      <w:spacing w:after="320" w:line="240" w:lineRule="auto"/>
    </w:pPr>
    <w:rPr>
      <w:rFonts w:ascii="Arial" w:hAnsi="Arial" w:cs="Arial"/>
      <w:b/>
      <w:bCs/>
      <w:color w:val="25A9E0"/>
      <w:sz w:val="44"/>
      <w:szCs w:val="44"/>
    </w:rPr>
  </w:style>
  <w:style w:type="paragraph" w:styleId="ListBullet">
    <w:name w:val="List Bullet"/>
    <w:uiPriority w:val="99"/>
    <w:semiHidden/>
    <w:rsid w:val="00082DEB"/>
    <w:pPr>
      <w:numPr>
        <w:numId w:val="41"/>
      </w:numPr>
      <w:spacing w:after="60" w:line="240" w:lineRule="auto"/>
      <w:ind w:left="360"/>
    </w:pPr>
    <w:rPr>
      <w:rFonts w:ascii="Arial" w:hAnsi="Arial" w:cs="Arial"/>
      <w:color w:val="112B4A" w:themeColor="text1"/>
      <w:sz w:val="20"/>
      <w:szCs w:val="20"/>
    </w:rPr>
  </w:style>
  <w:style w:type="paragraph" w:styleId="ListBullet2">
    <w:name w:val="List Bullet 2"/>
    <w:basedOn w:val="ListBullet"/>
    <w:uiPriority w:val="99"/>
    <w:semiHidden/>
    <w:rsid w:val="00082DEB"/>
    <w:pPr>
      <w:numPr>
        <w:numId w:val="39"/>
      </w:numPr>
      <w:ind w:left="720"/>
    </w:pPr>
  </w:style>
  <w:style w:type="paragraph" w:styleId="ListBullet3">
    <w:name w:val="List Bullet 3"/>
    <w:basedOn w:val="ListBullet2"/>
    <w:uiPriority w:val="99"/>
    <w:semiHidden/>
    <w:rsid w:val="00044BE2"/>
    <w:pPr>
      <w:numPr>
        <w:numId w:val="40"/>
      </w:numPr>
      <w:ind w:left="1080"/>
    </w:pPr>
  </w:style>
  <w:style w:type="paragraph" w:styleId="ListBullet4">
    <w:name w:val="List Bullet 4"/>
    <w:basedOn w:val="Normal"/>
    <w:uiPriority w:val="99"/>
    <w:semiHidden/>
    <w:rsid w:val="00082DEB"/>
    <w:pPr>
      <w:numPr>
        <w:numId w:val="35"/>
      </w:numPr>
      <w:spacing w:after="60"/>
      <w:contextualSpacing/>
    </w:pPr>
    <w:rPr>
      <w:color w:val="112B4A" w:themeColor="text1"/>
    </w:rPr>
  </w:style>
  <w:style w:type="paragraph" w:styleId="List">
    <w:name w:val="List"/>
    <w:basedOn w:val="Normal"/>
    <w:uiPriority w:val="99"/>
    <w:semiHidden/>
    <w:rsid w:val="006358B7"/>
    <w:pPr>
      <w:ind w:left="360" w:hanging="360"/>
      <w:contextualSpacing/>
    </w:pPr>
  </w:style>
  <w:style w:type="paragraph" w:styleId="TOC3">
    <w:name w:val="toc 3"/>
    <w:basedOn w:val="Normal"/>
    <w:next w:val="Normal"/>
    <w:autoRedefine/>
    <w:uiPriority w:val="39"/>
    <w:rsid w:val="00F134F5"/>
    <w:pPr>
      <w:tabs>
        <w:tab w:val="left" w:pos="1440"/>
        <w:tab w:val="right" w:pos="9720"/>
      </w:tabs>
      <w:spacing w:after="100"/>
      <w:ind w:left="1440" w:hanging="720"/>
    </w:pPr>
    <w:rPr>
      <w:noProof/>
    </w:rPr>
  </w:style>
  <w:style w:type="table" w:styleId="GridTable4">
    <w:name w:val="Grid Table 4"/>
    <w:basedOn w:val="TableNormal"/>
    <w:uiPriority w:val="49"/>
    <w:rsid w:val="00893C33"/>
    <w:pPr>
      <w:spacing w:after="0" w:line="240" w:lineRule="auto"/>
    </w:pPr>
    <w:tblPr>
      <w:tblStyleRowBandSize w:val="1"/>
      <w:tblStyleColBandSize w:val="1"/>
      <w:tblBorders>
        <w:top w:val="single" w:sz="4" w:space="0" w:color="327AD0" w:themeColor="text1" w:themeTint="99"/>
        <w:left w:val="single" w:sz="4" w:space="0" w:color="327AD0" w:themeColor="text1" w:themeTint="99"/>
        <w:bottom w:val="single" w:sz="4" w:space="0" w:color="327AD0" w:themeColor="text1" w:themeTint="99"/>
        <w:right w:val="single" w:sz="4" w:space="0" w:color="327AD0" w:themeColor="text1" w:themeTint="99"/>
        <w:insideH w:val="single" w:sz="4" w:space="0" w:color="327AD0" w:themeColor="text1" w:themeTint="99"/>
        <w:insideV w:val="single" w:sz="4" w:space="0" w:color="327AD0" w:themeColor="text1" w:themeTint="99"/>
      </w:tblBorders>
    </w:tblPr>
    <w:tblStylePr w:type="firstRow">
      <w:rPr>
        <w:b/>
        <w:bCs/>
        <w:color w:val="EBEDEE" w:themeColor="background1"/>
      </w:rPr>
      <w:tblPr/>
      <w:tcPr>
        <w:tcBorders>
          <w:top w:val="single" w:sz="4" w:space="0" w:color="112B4A" w:themeColor="text1"/>
          <w:left w:val="single" w:sz="4" w:space="0" w:color="112B4A" w:themeColor="text1"/>
          <w:bottom w:val="single" w:sz="4" w:space="0" w:color="112B4A" w:themeColor="text1"/>
          <w:right w:val="single" w:sz="4" w:space="0" w:color="112B4A" w:themeColor="text1"/>
          <w:insideH w:val="nil"/>
          <w:insideV w:val="nil"/>
        </w:tcBorders>
        <w:shd w:val="clear" w:color="auto" w:fill="112B4A" w:themeFill="text1"/>
      </w:tcPr>
    </w:tblStylePr>
    <w:tblStylePr w:type="lastRow">
      <w:rPr>
        <w:b/>
        <w:bCs/>
      </w:rPr>
      <w:tblPr/>
      <w:tcPr>
        <w:tcBorders>
          <w:top w:val="double" w:sz="4" w:space="0" w:color="112B4A" w:themeColor="text1"/>
        </w:tcBorders>
      </w:tcPr>
    </w:tblStylePr>
    <w:tblStylePr w:type="firstCol">
      <w:rPr>
        <w:b/>
        <w:bCs/>
      </w:rPr>
    </w:tblStylePr>
    <w:tblStylePr w:type="lastCol">
      <w:rPr>
        <w:b/>
        <w:bCs/>
      </w:rPr>
    </w:tblStylePr>
    <w:tblStylePr w:type="band1Vert">
      <w:tblPr/>
      <w:tcPr>
        <w:shd w:val="clear" w:color="auto" w:fill="BAD2EF" w:themeFill="text1" w:themeFillTint="33"/>
      </w:tcPr>
    </w:tblStylePr>
    <w:tblStylePr w:type="band1Horz">
      <w:tblPr/>
      <w:tcPr>
        <w:shd w:val="clear" w:color="auto" w:fill="BAD2EF" w:themeFill="text1" w:themeFillTint="33"/>
      </w:tcPr>
    </w:tblStylePr>
  </w:style>
  <w:style w:type="character" w:styleId="UnresolvedMention">
    <w:name w:val="Unresolved Mention"/>
    <w:basedOn w:val="DefaultParagraphFont"/>
    <w:uiPriority w:val="99"/>
    <w:semiHidden/>
    <w:unhideWhenUsed/>
    <w:rsid w:val="00D427E2"/>
    <w:rPr>
      <w:color w:val="605E5C"/>
      <w:shd w:val="clear" w:color="auto" w:fill="E1DFDD"/>
    </w:rPr>
  </w:style>
  <w:style w:type="character" w:styleId="CommentReference">
    <w:name w:val="annotation reference"/>
    <w:basedOn w:val="DefaultParagraphFont"/>
    <w:uiPriority w:val="99"/>
    <w:semiHidden/>
    <w:unhideWhenUsed/>
    <w:rsid w:val="004D0308"/>
    <w:rPr>
      <w:sz w:val="16"/>
      <w:szCs w:val="16"/>
    </w:rPr>
  </w:style>
  <w:style w:type="paragraph" w:styleId="CommentText">
    <w:name w:val="annotation text"/>
    <w:basedOn w:val="Normal"/>
    <w:link w:val="CommentTextChar"/>
    <w:uiPriority w:val="99"/>
    <w:semiHidden/>
    <w:unhideWhenUsed/>
    <w:rsid w:val="004D0308"/>
    <w:rPr>
      <w:szCs w:val="20"/>
    </w:rPr>
  </w:style>
  <w:style w:type="character" w:customStyle="1" w:styleId="CommentTextChar">
    <w:name w:val="Comment Text Char"/>
    <w:basedOn w:val="DefaultParagraphFont"/>
    <w:link w:val="CommentText"/>
    <w:uiPriority w:val="99"/>
    <w:semiHidden/>
    <w:rsid w:val="004D0308"/>
    <w:rPr>
      <w:sz w:val="20"/>
      <w:szCs w:val="20"/>
    </w:rPr>
  </w:style>
  <w:style w:type="paragraph" w:styleId="CommentSubject">
    <w:name w:val="annotation subject"/>
    <w:basedOn w:val="CommentText"/>
    <w:next w:val="CommentText"/>
    <w:link w:val="CommentSubjectChar"/>
    <w:uiPriority w:val="99"/>
    <w:semiHidden/>
    <w:unhideWhenUsed/>
    <w:rsid w:val="004D0308"/>
    <w:rPr>
      <w:b/>
      <w:bCs/>
    </w:rPr>
  </w:style>
  <w:style w:type="character" w:customStyle="1" w:styleId="CommentSubjectChar">
    <w:name w:val="Comment Subject Char"/>
    <w:basedOn w:val="CommentTextChar"/>
    <w:link w:val="CommentSubject"/>
    <w:uiPriority w:val="99"/>
    <w:semiHidden/>
    <w:rsid w:val="004D0308"/>
    <w:rPr>
      <w:b/>
      <w:bCs/>
      <w:sz w:val="20"/>
      <w:szCs w:val="20"/>
    </w:rPr>
  </w:style>
  <w:style w:type="character" w:styleId="FollowedHyperlink">
    <w:name w:val="FollowedHyperlink"/>
    <w:basedOn w:val="DefaultParagraphFont"/>
    <w:uiPriority w:val="99"/>
    <w:semiHidden/>
    <w:unhideWhenUsed/>
    <w:rsid w:val="00786A90"/>
    <w:rPr>
      <w:color w:val="3CC8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6515">
      <w:bodyDiv w:val="1"/>
      <w:marLeft w:val="0"/>
      <w:marRight w:val="0"/>
      <w:marTop w:val="0"/>
      <w:marBottom w:val="0"/>
      <w:divBdr>
        <w:top w:val="none" w:sz="0" w:space="0" w:color="auto"/>
        <w:left w:val="none" w:sz="0" w:space="0" w:color="auto"/>
        <w:bottom w:val="none" w:sz="0" w:space="0" w:color="auto"/>
        <w:right w:val="none" w:sz="0" w:space="0" w:color="auto"/>
      </w:divBdr>
    </w:div>
    <w:div w:id="58947879">
      <w:bodyDiv w:val="1"/>
      <w:marLeft w:val="0"/>
      <w:marRight w:val="0"/>
      <w:marTop w:val="0"/>
      <w:marBottom w:val="0"/>
      <w:divBdr>
        <w:top w:val="none" w:sz="0" w:space="0" w:color="auto"/>
        <w:left w:val="none" w:sz="0" w:space="0" w:color="auto"/>
        <w:bottom w:val="none" w:sz="0" w:space="0" w:color="auto"/>
        <w:right w:val="none" w:sz="0" w:space="0" w:color="auto"/>
      </w:divBdr>
    </w:div>
    <w:div w:id="76833654">
      <w:bodyDiv w:val="1"/>
      <w:marLeft w:val="0"/>
      <w:marRight w:val="0"/>
      <w:marTop w:val="0"/>
      <w:marBottom w:val="0"/>
      <w:divBdr>
        <w:top w:val="none" w:sz="0" w:space="0" w:color="auto"/>
        <w:left w:val="none" w:sz="0" w:space="0" w:color="auto"/>
        <w:bottom w:val="none" w:sz="0" w:space="0" w:color="auto"/>
        <w:right w:val="none" w:sz="0" w:space="0" w:color="auto"/>
      </w:divBdr>
    </w:div>
    <w:div w:id="130903672">
      <w:bodyDiv w:val="1"/>
      <w:marLeft w:val="0"/>
      <w:marRight w:val="0"/>
      <w:marTop w:val="0"/>
      <w:marBottom w:val="0"/>
      <w:divBdr>
        <w:top w:val="none" w:sz="0" w:space="0" w:color="auto"/>
        <w:left w:val="none" w:sz="0" w:space="0" w:color="auto"/>
        <w:bottom w:val="none" w:sz="0" w:space="0" w:color="auto"/>
        <w:right w:val="none" w:sz="0" w:space="0" w:color="auto"/>
      </w:divBdr>
    </w:div>
    <w:div w:id="149642182">
      <w:bodyDiv w:val="1"/>
      <w:marLeft w:val="0"/>
      <w:marRight w:val="0"/>
      <w:marTop w:val="0"/>
      <w:marBottom w:val="0"/>
      <w:divBdr>
        <w:top w:val="none" w:sz="0" w:space="0" w:color="auto"/>
        <w:left w:val="none" w:sz="0" w:space="0" w:color="auto"/>
        <w:bottom w:val="none" w:sz="0" w:space="0" w:color="auto"/>
        <w:right w:val="none" w:sz="0" w:space="0" w:color="auto"/>
      </w:divBdr>
    </w:div>
    <w:div w:id="223564323">
      <w:bodyDiv w:val="1"/>
      <w:marLeft w:val="0"/>
      <w:marRight w:val="0"/>
      <w:marTop w:val="0"/>
      <w:marBottom w:val="0"/>
      <w:divBdr>
        <w:top w:val="none" w:sz="0" w:space="0" w:color="auto"/>
        <w:left w:val="none" w:sz="0" w:space="0" w:color="auto"/>
        <w:bottom w:val="none" w:sz="0" w:space="0" w:color="auto"/>
        <w:right w:val="none" w:sz="0" w:space="0" w:color="auto"/>
      </w:divBdr>
    </w:div>
    <w:div w:id="351153189">
      <w:bodyDiv w:val="1"/>
      <w:marLeft w:val="0"/>
      <w:marRight w:val="0"/>
      <w:marTop w:val="0"/>
      <w:marBottom w:val="0"/>
      <w:divBdr>
        <w:top w:val="none" w:sz="0" w:space="0" w:color="auto"/>
        <w:left w:val="none" w:sz="0" w:space="0" w:color="auto"/>
        <w:bottom w:val="none" w:sz="0" w:space="0" w:color="auto"/>
        <w:right w:val="none" w:sz="0" w:space="0" w:color="auto"/>
      </w:divBdr>
    </w:div>
    <w:div w:id="634143551">
      <w:bodyDiv w:val="1"/>
      <w:marLeft w:val="0"/>
      <w:marRight w:val="0"/>
      <w:marTop w:val="0"/>
      <w:marBottom w:val="0"/>
      <w:divBdr>
        <w:top w:val="none" w:sz="0" w:space="0" w:color="auto"/>
        <w:left w:val="none" w:sz="0" w:space="0" w:color="auto"/>
        <w:bottom w:val="none" w:sz="0" w:space="0" w:color="auto"/>
        <w:right w:val="none" w:sz="0" w:space="0" w:color="auto"/>
      </w:divBdr>
    </w:div>
    <w:div w:id="768745060">
      <w:bodyDiv w:val="1"/>
      <w:marLeft w:val="0"/>
      <w:marRight w:val="0"/>
      <w:marTop w:val="0"/>
      <w:marBottom w:val="0"/>
      <w:divBdr>
        <w:top w:val="none" w:sz="0" w:space="0" w:color="auto"/>
        <w:left w:val="none" w:sz="0" w:space="0" w:color="auto"/>
        <w:bottom w:val="none" w:sz="0" w:space="0" w:color="auto"/>
        <w:right w:val="none" w:sz="0" w:space="0" w:color="auto"/>
      </w:divBdr>
    </w:div>
    <w:div w:id="809597643">
      <w:bodyDiv w:val="1"/>
      <w:marLeft w:val="0"/>
      <w:marRight w:val="0"/>
      <w:marTop w:val="0"/>
      <w:marBottom w:val="0"/>
      <w:divBdr>
        <w:top w:val="none" w:sz="0" w:space="0" w:color="auto"/>
        <w:left w:val="none" w:sz="0" w:space="0" w:color="auto"/>
        <w:bottom w:val="none" w:sz="0" w:space="0" w:color="auto"/>
        <w:right w:val="none" w:sz="0" w:space="0" w:color="auto"/>
      </w:divBdr>
    </w:div>
    <w:div w:id="911812308">
      <w:bodyDiv w:val="1"/>
      <w:marLeft w:val="0"/>
      <w:marRight w:val="0"/>
      <w:marTop w:val="0"/>
      <w:marBottom w:val="0"/>
      <w:divBdr>
        <w:top w:val="none" w:sz="0" w:space="0" w:color="auto"/>
        <w:left w:val="none" w:sz="0" w:space="0" w:color="auto"/>
        <w:bottom w:val="none" w:sz="0" w:space="0" w:color="auto"/>
        <w:right w:val="none" w:sz="0" w:space="0" w:color="auto"/>
      </w:divBdr>
    </w:div>
    <w:div w:id="938223560">
      <w:bodyDiv w:val="1"/>
      <w:marLeft w:val="0"/>
      <w:marRight w:val="0"/>
      <w:marTop w:val="0"/>
      <w:marBottom w:val="0"/>
      <w:divBdr>
        <w:top w:val="none" w:sz="0" w:space="0" w:color="auto"/>
        <w:left w:val="none" w:sz="0" w:space="0" w:color="auto"/>
        <w:bottom w:val="none" w:sz="0" w:space="0" w:color="auto"/>
        <w:right w:val="none" w:sz="0" w:space="0" w:color="auto"/>
      </w:divBdr>
    </w:div>
    <w:div w:id="1145512972">
      <w:bodyDiv w:val="1"/>
      <w:marLeft w:val="0"/>
      <w:marRight w:val="0"/>
      <w:marTop w:val="0"/>
      <w:marBottom w:val="0"/>
      <w:divBdr>
        <w:top w:val="none" w:sz="0" w:space="0" w:color="auto"/>
        <w:left w:val="none" w:sz="0" w:space="0" w:color="auto"/>
        <w:bottom w:val="none" w:sz="0" w:space="0" w:color="auto"/>
        <w:right w:val="none" w:sz="0" w:space="0" w:color="auto"/>
      </w:divBdr>
    </w:div>
    <w:div w:id="1165125394">
      <w:bodyDiv w:val="1"/>
      <w:marLeft w:val="0"/>
      <w:marRight w:val="0"/>
      <w:marTop w:val="0"/>
      <w:marBottom w:val="0"/>
      <w:divBdr>
        <w:top w:val="none" w:sz="0" w:space="0" w:color="auto"/>
        <w:left w:val="none" w:sz="0" w:space="0" w:color="auto"/>
        <w:bottom w:val="none" w:sz="0" w:space="0" w:color="auto"/>
        <w:right w:val="none" w:sz="0" w:space="0" w:color="auto"/>
      </w:divBdr>
    </w:div>
    <w:div w:id="1276206815">
      <w:bodyDiv w:val="1"/>
      <w:marLeft w:val="0"/>
      <w:marRight w:val="0"/>
      <w:marTop w:val="0"/>
      <w:marBottom w:val="0"/>
      <w:divBdr>
        <w:top w:val="none" w:sz="0" w:space="0" w:color="auto"/>
        <w:left w:val="none" w:sz="0" w:space="0" w:color="auto"/>
        <w:bottom w:val="none" w:sz="0" w:space="0" w:color="auto"/>
        <w:right w:val="none" w:sz="0" w:space="0" w:color="auto"/>
      </w:divBdr>
    </w:div>
    <w:div w:id="1329819850">
      <w:bodyDiv w:val="1"/>
      <w:marLeft w:val="0"/>
      <w:marRight w:val="0"/>
      <w:marTop w:val="0"/>
      <w:marBottom w:val="0"/>
      <w:divBdr>
        <w:top w:val="none" w:sz="0" w:space="0" w:color="auto"/>
        <w:left w:val="none" w:sz="0" w:space="0" w:color="auto"/>
        <w:bottom w:val="none" w:sz="0" w:space="0" w:color="auto"/>
        <w:right w:val="none" w:sz="0" w:space="0" w:color="auto"/>
      </w:divBdr>
    </w:div>
    <w:div w:id="1508668352">
      <w:bodyDiv w:val="1"/>
      <w:marLeft w:val="0"/>
      <w:marRight w:val="0"/>
      <w:marTop w:val="0"/>
      <w:marBottom w:val="0"/>
      <w:divBdr>
        <w:top w:val="none" w:sz="0" w:space="0" w:color="auto"/>
        <w:left w:val="none" w:sz="0" w:space="0" w:color="auto"/>
        <w:bottom w:val="none" w:sz="0" w:space="0" w:color="auto"/>
        <w:right w:val="none" w:sz="0" w:space="0" w:color="auto"/>
      </w:divBdr>
    </w:div>
    <w:div w:id="1572615930">
      <w:bodyDiv w:val="1"/>
      <w:marLeft w:val="0"/>
      <w:marRight w:val="0"/>
      <w:marTop w:val="0"/>
      <w:marBottom w:val="0"/>
      <w:divBdr>
        <w:top w:val="none" w:sz="0" w:space="0" w:color="auto"/>
        <w:left w:val="none" w:sz="0" w:space="0" w:color="auto"/>
        <w:bottom w:val="none" w:sz="0" w:space="0" w:color="auto"/>
        <w:right w:val="none" w:sz="0" w:space="0" w:color="auto"/>
      </w:divBdr>
    </w:div>
    <w:div w:id="1577476388">
      <w:bodyDiv w:val="1"/>
      <w:marLeft w:val="0"/>
      <w:marRight w:val="0"/>
      <w:marTop w:val="0"/>
      <w:marBottom w:val="0"/>
      <w:divBdr>
        <w:top w:val="none" w:sz="0" w:space="0" w:color="auto"/>
        <w:left w:val="none" w:sz="0" w:space="0" w:color="auto"/>
        <w:bottom w:val="none" w:sz="0" w:space="0" w:color="auto"/>
        <w:right w:val="none" w:sz="0" w:space="0" w:color="auto"/>
      </w:divBdr>
    </w:div>
    <w:div w:id="1714307839">
      <w:bodyDiv w:val="1"/>
      <w:marLeft w:val="0"/>
      <w:marRight w:val="0"/>
      <w:marTop w:val="0"/>
      <w:marBottom w:val="0"/>
      <w:divBdr>
        <w:top w:val="none" w:sz="0" w:space="0" w:color="auto"/>
        <w:left w:val="none" w:sz="0" w:space="0" w:color="auto"/>
        <w:bottom w:val="none" w:sz="0" w:space="0" w:color="auto"/>
        <w:right w:val="none" w:sz="0" w:space="0" w:color="auto"/>
      </w:divBdr>
    </w:div>
    <w:div w:id="2001998628">
      <w:bodyDiv w:val="1"/>
      <w:marLeft w:val="0"/>
      <w:marRight w:val="0"/>
      <w:marTop w:val="0"/>
      <w:marBottom w:val="0"/>
      <w:divBdr>
        <w:top w:val="none" w:sz="0" w:space="0" w:color="auto"/>
        <w:left w:val="none" w:sz="0" w:space="0" w:color="auto"/>
        <w:bottom w:val="none" w:sz="0" w:space="0" w:color="auto"/>
        <w:right w:val="none" w:sz="0" w:space="0" w:color="auto"/>
      </w:divBdr>
    </w:div>
    <w:div w:id="2040201782">
      <w:bodyDiv w:val="1"/>
      <w:marLeft w:val="0"/>
      <w:marRight w:val="0"/>
      <w:marTop w:val="0"/>
      <w:marBottom w:val="0"/>
      <w:divBdr>
        <w:top w:val="none" w:sz="0" w:space="0" w:color="auto"/>
        <w:left w:val="none" w:sz="0" w:space="0" w:color="auto"/>
        <w:bottom w:val="none" w:sz="0" w:space="0" w:color="auto"/>
        <w:right w:val="none" w:sz="0" w:space="0" w:color="auto"/>
      </w:divBdr>
    </w:div>
    <w:div w:id="2069643280">
      <w:bodyDiv w:val="1"/>
      <w:marLeft w:val="0"/>
      <w:marRight w:val="0"/>
      <w:marTop w:val="0"/>
      <w:marBottom w:val="0"/>
      <w:divBdr>
        <w:top w:val="none" w:sz="0" w:space="0" w:color="auto"/>
        <w:left w:val="none" w:sz="0" w:space="0" w:color="auto"/>
        <w:bottom w:val="none" w:sz="0" w:space="0" w:color="auto"/>
        <w:right w:val="none" w:sz="0" w:space="0" w:color="auto"/>
      </w:divBdr>
    </w:div>
    <w:div w:id="2086611718">
      <w:bodyDiv w:val="1"/>
      <w:marLeft w:val="0"/>
      <w:marRight w:val="0"/>
      <w:marTop w:val="0"/>
      <w:marBottom w:val="0"/>
      <w:divBdr>
        <w:top w:val="none" w:sz="0" w:space="0" w:color="auto"/>
        <w:left w:val="none" w:sz="0" w:space="0" w:color="auto"/>
        <w:bottom w:val="none" w:sz="0" w:space="0" w:color="auto"/>
        <w:right w:val="none" w:sz="0" w:space="0" w:color="auto"/>
      </w:divBdr>
    </w:div>
    <w:div w:id="213590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megroup.com/market-data/cme-group-benchmark-administration/term-sofr.html"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cmegroup.com/market-data/cme-group-benchmark-administration/publications.htm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megroup.com/market-data/cme-group-benchmark-administration/publications.html"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megroup.com/market-data/cme-group-benchmark-administration/publications.htm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_rels/footer4.xml.rels><?xml version="1.0" encoding="UTF-8" standalone="yes"?>
<Relationships xmlns="http://schemas.openxmlformats.org/package/2006/relationships"><Relationship Id="rId1" Type="http://schemas.openxmlformats.org/officeDocument/2006/relationships/hyperlink" Target="https://www.cme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6.emf"/></Relationships>
</file>

<file path=word/_rels/header4.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43215\AppData\Local\Packages\Microsoft.MicrosoftEdge_8wekyb3d8bbwe\TempState\Downloads\CME_Group_Template_-_White_Paper_-_A4%20(1).dotx" TargetMode="External"/></Relationships>
</file>

<file path=word/theme/theme1.xml><?xml version="1.0" encoding="utf-8"?>
<a:theme xmlns:a="http://schemas.openxmlformats.org/drawingml/2006/main" name="Office Theme">
  <a:themeElements>
    <a:clrScheme name="CME Group">
      <a:dk1>
        <a:srgbClr val="112B4A"/>
      </a:dk1>
      <a:lt1>
        <a:srgbClr val="EBEDEE"/>
      </a:lt1>
      <a:dk2>
        <a:srgbClr val="25A9E0"/>
      </a:dk2>
      <a:lt2>
        <a:srgbClr val="FFFFFF"/>
      </a:lt2>
      <a:accent1>
        <a:srgbClr val="1F3374"/>
      </a:accent1>
      <a:accent2>
        <a:srgbClr val="808285"/>
      </a:accent2>
      <a:accent3>
        <a:srgbClr val="00E473"/>
      </a:accent3>
      <a:accent4>
        <a:srgbClr val="25323C"/>
      </a:accent4>
      <a:accent5>
        <a:srgbClr val="006EB6"/>
      </a:accent5>
      <a:accent6>
        <a:srgbClr val="5A6874"/>
      </a:accent6>
      <a:hlink>
        <a:srgbClr val="E3E935"/>
      </a:hlink>
      <a:folHlink>
        <a:srgbClr val="3CC8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0117E-28FA-4D12-AA8A-9602E16D5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CME_Group_Template_-_White_Paper_-_A4 (1)</Template>
  <TotalTime>31</TotalTime>
  <Pages>13</Pages>
  <Words>3466</Words>
  <Characters>19759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Stride, Graham</dc:creator>
  <cp:keywords/>
  <dc:description/>
  <cp:lastModifiedBy>Stride, Graham</cp:lastModifiedBy>
  <cp:revision>4</cp:revision>
  <cp:lastPrinted>2021-04-06T08:55:00Z</cp:lastPrinted>
  <dcterms:created xsi:type="dcterms:W3CDTF">2023-08-10T11:54:00Z</dcterms:created>
  <dcterms:modified xsi:type="dcterms:W3CDTF">2023-08-10T12:20:00Z</dcterms:modified>
</cp:coreProperties>
</file>